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0896C167"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6468DD">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6468DD">
        <w:rPr>
          <w:rFonts w:ascii="Arial" w:hAnsi="Arial" w:cs="Arial"/>
          <w:b/>
          <w:sz w:val="24"/>
          <w:lang w:val="en-US"/>
        </w:rPr>
        <w:t>85</w:t>
      </w:r>
      <w:r w:rsidR="00AE116C" w:rsidRPr="00052390">
        <w:rPr>
          <w:rFonts w:ascii="Arial" w:hAnsi="Arial" w:cs="Arial"/>
          <w:b/>
          <w:sz w:val="24"/>
          <w:lang w:val="en-US"/>
        </w:rPr>
        <w:tab/>
      </w:r>
      <w:r w:rsidR="00AE116C" w:rsidRPr="00052390">
        <w:rPr>
          <w:rFonts w:ascii="Arial" w:hAnsi="Arial" w:cs="Arial"/>
          <w:b/>
          <w:sz w:val="24"/>
          <w:lang w:val="en-US"/>
        </w:rPr>
        <w:tab/>
      </w:r>
      <w:r w:rsidR="007C6687" w:rsidRPr="007C6687">
        <w:rPr>
          <w:rFonts w:ascii="Arial" w:hAnsi="Arial" w:cs="Arial"/>
          <w:b/>
          <w:sz w:val="24"/>
          <w:lang w:val="en-US"/>
        </w:rPr>
        <w:t>R5-198261</w:t>
      </w:r>
      <w:r w:rsidR="00AE116C" w:rsidRPr="00052390">
        <w:rPr>
          <w:rFonts w:ascii="Arial" w:hAnsi="Arial" w:cs="Arial"/>
          <w:b/>
          <w:sz w:val="24"/>
          <w:lang w:val="en-US"/>
        </w:rPr>
        <w:br/>
      </w:r>
      <w:r w:rsidR="0082033D">
        <w:rPr>
          <w:rFonts w:ascii="Arial" w:hAnsi="Arial" w:cs="Arial"/>
          <w:b/>
          <w:sz w:val="24"/>
        </w:rPr>
        <w:t>Reno</w:t>
      </w:r>
      <w:r w:rsidRPr="00DD1C07">
        <w:rPr>
          <w:rFonts w:ascii="Arial" w:hAnsi="Arial" w:cs="Arial"/>
          <w:b/>
          <w:sz w:val="24"/>
        </w:rPr>
        <w:t xml:space="preserve">, </w:t>
      </w:r>
      <w:r w:rsidR="0082033D">
        <w:rPr>
          <w:rFonts w:ascii="Arial" w:hAnsi="Arial" w:cs="Arial"/>
          <w:b/>
          <w:sz w:val="24"/>
        </w:rPr>
        <w:t>NV, USA</w:t>
      </w:r>
      <w:r w:rsidRPr="00DD1C07">
        <w:rPr>
          <w:rFonts w:ascii="Arial" w:hAnsi="Arial" w:cs="Arial"/>
          <w:b/>
          <w:sz w:val="24"/>
        </w:rPr>
        <w:t xml:space="preserve">, </w:t>
      </w:r>
      <w:r w:rsidR="0082033D">
        <w:rPr>
          <w:rFonts w:ascii="Arial" w:hAnsi="Arial" w:cs="Arial"/>
          <w:b/>
          <w:sz w:val="24"/>
        </w:rPr>
        <w:t>18</w:t>
      </w:r>
      <w:r w:rsidR="0046119F">
        <w:rPr>
          <w:rFonts w:ascii="Arial" w:hAnsi="Arial" w:cs="Arial"/>
          <w:b/>
          <w:sz w:val="24"/>
        </w:rPr>
        <w:t xml:space="preserve"> – </w:t>
      </w:r>
      <w:r w:rsidR="0082033D">
        <w:rPr>
          <w:rFonts w:ascii="Arial" w:hAnsi="Arial" w:cs="Arial"/>
          <w:b/>
          <w:sz w:val="24"/>
        </w:rPr>
        <w:t>22</w:t>
      </w:r>
      <w:r w:rsidR="0046119F">
        <w:rPr>
          <w:rFonts w:ascii="Arial" w:hAnsi="Arial" w:cs="Arial"/>
          <w:b/>
          <w:sz w:val="24"/>
        </w:rPr>
        <w:t xml:space="preserve"> </w:t>
      </w:r>
      <w:r w:rsidR="0082033D">
        <w:rPr>
          <w:rFonts w:ascii="Arial" w:hAnsi="Arial" w:cs="Arial"/>
          <w:b/>
          <w:sz w:val="24"/>
        </w:rPr>
        <w:t>November</w:t>
      </w:r>
      <w:r w:rsidR="00B24E76" w:rsidRPr="00B24E76">
        <w:rPr>
          <w:rFonts w:ascii="Arial" w:hAnsi="Arial" w:cs="Arial"/>
          <w:b/>
          <w:sz w:val="24"/>
        </w:rPr>
        <w:t xml:space="preserve"> 2019 </w:t>
      </w:r>
    </w:p>
    <w:bookmarkEnd w:id="0"/>
    <w:p w14:paraId="35952387" w14:textId="77777777" w:rsidR="00816C9D" w:rsidRPr="0008103A" w:rsidRDefault="00816C9D" w:rsidP="00816C9D">
      <w:pPr>
        <w:rPr>
          <w:rFonts w:ascii="Arial" w:hAnsi="Arial" w:cs="Arial"/>
          <w:b/>
          <w:sz w:val="24"/>
          <w:szCs w:val="24"/>
        </w:rPr>
      </w:pPr>
    </w:p>
    <w:p w14:paraId="35952388" w14:textId="21F77E4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E06B3" w:rsidRPr="000E06B3">
        <w:rPr>
          <w:rFonts w:ascii="Arial" w:hAnsi="Arial" w:cs="Arial"/>
          <w:sz w:val="24"/>
          <w:szCs w:val="24"/>
        </w:rPr>
        <w:t>5.3.5.17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B65E182"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072D3" w:rsidRPr="00E072D3">
        <w:rPr>
          <w:rFonts w:ascii="Arial" w:hAnsi="Arial" w:cs="Arial"/>
          <w:sz w:val="24"/>
          <w:szCs w:val="24"/>
        </w:rPr>
        <w:t>On 15cm Quiet Zone</w:t>
      </w:r>
    </w:p>
    <w:p w14:paraId="3595238B" w14:textId="5E53E946"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DE7F66">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68A6DF49" w14:textId="42D91FF4" w:rsidR="00EF7603" w:rsidRPr="00F126FB" w:rsidRDefault="00EF7603" w:rsidP="00EF7603">
      <w:pPr>
        <w:rPr>
          <w:rFonts w:cs="Arial"/>
          <w:b/>
          <w:bCs/>
          <w:u w:val="single"/>
        </w:rPr>
      </w:pPr>
      <w:r w:rsidRPr="00F126FB">
        <w:rPr>
          <w:rFonts w:cs="Arial"/>
        </w:rPr>
        <w:t xml:space="preserve">This contribution </w:t>
      </w:r>
      <w:r>
        <w:rPr>
          <w:rFonts w:cs="Arial"/>
        </w:rPr>
        <w:t>outlines ways forward regarding the 15cm Quiet Zone</w:t>
      </w:r>
      <w:r w:rsidR="00A059DA">
        <w:rPr>
          <w:rFonts w:cs="Arial"/>
        </w:rPr>
        <w:t xml:space="preserve"> which is insufficient to test PC3 handheld devices like smartphones</w:t>
      </w:r>
      <w:r>
        <w:rPr>
          <w:rFonts w:cs="Arial"/>
        </w:rPr>
        <w:t xml:space="preserve">. </w:t>
      </w:r>
    </w:p>
    <w:p w14:paraId="3595238E" w14:textId="77777777" w:rsidR="0053435C" w:rsidRDefault="00AF0F4C" w:rsidP="0053435C">
      <w:pPr>
        <w:pStyle w:val="Heading1"/>
        <w:ind w:left="567" w:hanging="567"/>
      </w:pPr>
      <w:r>
        <w:t>Discussion</w:t>
      </w:r>
    </w:p>
    <w:bookmarkEnd w:id="2"/>
    <w:p w14:paraId="45E55638" w14:textId="3F56FF21" w:rsidR="00195499" w:rsidRDefault="00195499" w:rsidP="00C709F1">
      <w:pPr>
        <w:rPr>
          <w:rFonts w:eastAsia="Batang"/>
        </w:rPr>
      </w:pPr>
      <w:r>
        <w:rPr>
          <w:rFonts w:eastAsia="Batang"/>
        </w:rPr>
        <w:t>Parts</w:t>
      </w:r>
      <w:r w:rsidR="007459C2">
        <w:rPr>
          <w:rFonts w:eastAsia="Batang"/>
        </w:rPr>
        <w:t xml:space="preserve"> of this contribution were initially presented and discussed in RAN4 </w:t>
      </w:r>
      <w:r w:rsidR="007459C2">
        <w:rPr>
          <w:rFonts w:eastAsia="Batang"/>
        </w:rPr>
        <w:fldChar w:fldCharType="begin"/>
      </w:r>
      <w:r w:rsidR="007459C2">
        <w:rPr>
          <w:rFonts w:eastAsia="Batang"/>
        </w:rPr>
        <w:instrText xml:space="preserve"> REF _Ref23775456 \r \h </w:instrText>
      </w:r>
      <w:r w:rsidR="007459C2">
        <w:rPr>
          <w:rFonts w:eastAsia="Batang"/>
        </w:rPr>
      </w:r>
      <w:r w:rsidR="007459C2">
        <w:rPr>
          <w:rFonts w:eastAsia="Batang"/>
        </w:rPr>
        <w:fldChar w:fldCharType="separate"/>
      </w:r>
      <w:r w:rsidR="00CE14C9">
        <w:rPr>
          <w:rFonts w:eastAsia="Batang"/>
        </w:rPr>
        <w:t>[1]</w:t>
      </w:r>
      <w:r w:rsidR="007459C2">
        <w:rPr>
          <w:rFonts w:eastAsia="Batang"/>
        </w:rPr>
        <w:fldChar w:fldCharType="end"/>
      </w:r>
      <w:r w:rsidR="00FB38AF">
        <w:rPr>
          <w:rFonts w:eastAsia="Batang"/>
        </w:rPr>
        <w:t xml:space="preserve"> and are now presented in RAN5 f</w:t>
      </w:r>
      <w:r w:rsidR="007459C2">
        <w:rPr>
          <w:rFonts w:eastAsia="Batang"/>
        </w:rPr>
        <w:t>ollowing the advice from the RAN4 chair to present quiet zone</w:t>
      </w:r>
      <w:r w:rsidR="00D02F39">
        <w:rPr>
          <w:rFonts w:eastAsia="Batang"/>
        </w:rPr>
        <w:t xml:space="preserve"> size related contribution</w:t>
      </w:r>
      <w:r w:rsidR="00FB1A36">
        <w:rPr>
          <w:rFonts w:eastAsia="Batang"/>
        </w:rPr>
        <w:t>s</w:t>
      </w:r>
      <w:r w:rsidR="00D02F39">
        <w:rPr>
          <w:rFonts w:eastAsia="Batang"/>
        </w:rPr>
        <w:t xml:space="preserve"> in RAN5 instead of RAN4</w:t>
      </w:r>
      <w:r w:rsidR="00FB38AF">
        <w:rPr>
          <w:rFonts w:eastAsia="Batang"/>
        </w:rPr>
        <w:t xml:space="preserve">. </w:t>
      </w:r>
    </w:p>
    <w:p w14:paraId="5BD4A443" w14:textId="5C17E88D" w:rsidR="00C709F1" w:rsidRDefault="00C709F1" w:rsidP="00C709F1">
      <w:pPr>
        <w:rPr>
          <w:rFonts w:eastAsia="Batang"/>
        </w:rPr>
      </w:pPr>
      <w:r>
        <w:rPr>
          <w:rFonts w:eastAsia="Batang"/>
        </w:rPr>
        <w:t xml:space="preserve">Various quiet zone/test zone sizes have been introduced for OTA test plans and tabulated in </w:t>
      </w:r>
      <w:r>
        <w:rPr>
          <w:rFonts w:eastAsia="Batang"/>
        </w:rPr>
        <w:fldChar w:fldCharType="begin"/>
      </w:r>
      <w:r>
        <w:rPr>
          <w:rFonts w:eastAsia="Batang"/>
        </w:rPr>
        <w:instrText xml:space="preserve"> REF _Ref19542608 \h </w:instrText>
      </w:r>
      <w:r>
        <w:rPr>
          <w:rFonts w:eastAsia="Batang"/>
        </w:rPr>
      </w:r>
      <w:r>
        <w:rPr>
          <w:rFonts w:eastAsia="Batang"/>
        </w:rPr>
        <w:fldChar w:fldCharType="separate"/>
      </w:r>
      <w:r w:rsidR="00CE14C9" w:rsidRPr="00D0288A">
        <w:t xml:space="preserve">Table </w:t>
      </w:r>
      <w:r w:rsidR="00CE14C9">
        <w:rPr>
          <w:noProof/>
        </w:rPr>
        <w:t>1</w:t>
      </w:r>
      <w:r>
        <w:rPr>
          <w:rFonts w:eastAsia="Batang"/>
        </w:rPr>
        <w:fldChar w:fldCharType="end"/>
      </w:r>
      <w:r>
        <w:rPr>
          <w:rFonts w:eastAsia="Batang"/>
        </w:rPr>
        <w:t>.</w:t>
      </w:r>
    </w:p>
    <w:p w14:paraId="07AE9554" w14:textId="0D78DEF4" w:rsidR="00C709F1" w:rsidRPr="00D0288A" w:rsidRDefault="00C709F1" w:rsidP="00663132">
      <w:pPr>
        <w:pStyle w:val="Caption"/>
        <w:jc w:val="center"/>
        <w:rPr>
          <w:rFonts w:eastAsia="Batang"/>
        </w:rPr>
      </w:pPr>
      <w:bookmarkStart w:id="3" w:name="_Ref19542608"/>
      <w:r w:rsidRPr="00D0288A">
        <w:t xml:space="preserve">Table </w:t>
      </w:r>
      <w:r>
        <w:fldChar w:fldCharType="begin"/>
      </w:r>
      <w:r>
        <w:instrText xml:space="preserve"> SEQ Table \* ARABIC </w:instrText>
      </w:r>
      <w:r>
        <w:fldChar w:fldCharType="separate"/>
      </w:r>
      <w:r w:rsidR="00CE14C9">
        <w:rPr>
          <w:noProof/>
        </w:rPr>
        <w:t>1</w:t>
      </w:r>
      <w:r>
        <w:rPr>
          <w:noProof/>
        </w:rPr>
        <w:fldChar w:fldCharType="end"/>
      </w:r>
      <w:bookmarkEnd w:id="3"/>
      <w:r w:rsidRPr="00D0288A">
        <w:t>: Overview of currently defined OTA quiet zones and test zone sizes.</w:t>
      </w:r>
    </w:p>
    <w:tbl>
      <w:tblPr>
        <w:tblStyle w:val="TableGrid"/>
        <w:tblW w:w="0" w:type="auto"/>
        <w:tblLook w:val="04A0" w:firstRow="1" w:lastRow="0" w:firstColumn="1" w:lastColumn="0" w:noHBand="0" w:noVBand="1"/>
      </w:tblPr>
      <w:tblGrid>
        <w:gridCol w:w="1336"/>
        <w:gridCol w:w="3068"/>
        <w:gridCol w:w="3727"/>
        <w:gridCol w:w="1219"/>
      </w:tblGrid>
      <w:tr w:rsidR="00C709F1" w14:paraId="7ACAAA31" w14:textId="77777777" w:rsidTr="00155653">
        <w:tc>
          <w:tcPr>
            <w:tcW w:w="1336" w:type="dxa"/>
          </w:tcPr>
          <w:p w14:paraId="4FA37C13" w14:textId="77777777" w:rsidR="00C709F1" w:rsidRPr="00C117AA" w:rsidRDefault="00C709F1" w:rsidP="00155653">
            <w:pPr>
              <w:rPr>
                <w:rFonts w:eastAsia="Batang"/>
                <w:b/>
              </w:rPr>
            </w:pPr>
            <w:r w:rsidRPr="00C117AA">
              <w:rPr>
                <w:rFonts w:eastAsia="Batang"/>
                <w:b/>
              </w:rPr>
              <w:t>Quiet Zone/</w:t>
            </w:r>
            <w:r w:rsidRPr="00C117AA">
              <w:rPr>
                <w:rFonts w:eastAsia="Batang"/>
                <w:b/>
              </w:rPr>
              <w:br/>
              <w:t>Test Zone Size</w:t>
            </w:r>
          </w:p>
        </w:tc>
        <w:tc>
          <w:tcPr>
            <w:tcW w:w="3068" w:type="dxa"/>
          </w:tcPr>
          <w:p w14:paraId="4DDBC675" w14:textId="77777777" w:rsidR="00C709F1" w:rsidRPr="00C117AA" w:rsidRDefault="00C709F1" w:rsidP="00155653">
            <w:pPr>
              <w:rPr>
                <w:rFonts w:eastAsia="Batang"/>
                <w:b/>
              </w:rPr>
            </w:pPr>
            <w:r>
              <w:rPr>
                <w:rFonts w:eastAsia="Batang"/>
                <w:b/>
              </w:rPr>
              <w:t>Additional QZ Information</w:t>
            </w:r>
          </w:p>
        </w:tc>
        <w:tc>
          <w:tcPr>
            <w:tcW w:w="3727" w:type="dxa"/>
          </w:tcPr>
          <w:p w14:paraId="03596361" w14:textId="77777777" w:rsidR="00C709F1" w:rsidRPr="00C117AA" w:rsidRDefault="00C709F1" w:rsidP="00155653">
            <w:pPr>
              <w:rPr>
                <w:rFonts w:eastAsia="Batang"/>
                <w:b/>
              </w:rPr>
            </w:pPr>
            <w:r w:rsidRPr="00C117AA">
              <w:rPr>
                <w:rFonts w:eastAsia="Batang"/>
                <w:b/>
              </w:rPr>
              <w:t>Applicability</w:t>
            </w:r>
          </w:p>
        </w:tc>
        <w:tc>
          <w:tcPr>
            <w:tcW w:w="1219" w:type="dxa"/>
          </w:tcPr>
          <w:p w14:paraId="174630CB" w14:textId="77777777" w:rsidR="00C709F1" w:rsidRPr="00C117AA" w:rsidRDefault="00C709F1" w:rsidP="00155653">
            <w:pPr>
              <w:rPr>
                <w:rFonts w:eastAsia="Batang"/>
                <w:b/>
              </w:rPr>
            </w:pPr>
            <w:r w:rsidRPr="00C117AA">
              <w:rPr>
                <w:rFonts w:eastAsia="Batang"/>
                <w:b/>
              </w:rPr>
              <w:t>Reference</w:t>
            </w:r>
          </w:p>
        </w:tc>
      </w:tr>
      <w:tr w:rsidR="00C709F1" w14:paraId="74351F7F" w14:textId="77777777" w:rsidTr="00155653">
        <w:tc>
          <w:tcPr>
            <w:tcW w:w="1336" w:type="dxa"/>
          </w:tcPr>
          <w:p w14:paraId="4BF020D2" w14:textId="77777777" w:rsidR="00C709F1" w:rsidRDefault="00C709F1" w:rsidP="00155653">
            <w:pPr>
              <w:rPr>
                <w:rFonts w:eastAsia="Batang"/>
              </w:rPr>
            </w:pPr>
            <w:r>
              <w:rPr>
                <w:rFonts w:eastAsia="Batang"/>
              </w:rPr>
              <w:t>15cm</w:t>
            </w:r>
          </w:p>
        </w:tc>
        <w:tc>
          <w:tcPr>
            <w:tcW w:w="3068" w:type="dxa"/>
          </w:tcPr>
          <w:p w14:paraId="5627FE6A" w14:textId="77777777" w:rsidR="00C709F1" w:rsidRDefault="00C709F1" w:rsidP="00155653">
            <w:pPr>
              <w:rPr>
                <w:rFonts w:eastAsia="Batang"/>
              </w:rPr>
            </w:pPr>
            <w:r>
              <w:rPr>
                <w:rFonts w:eastAsia="Batang"/>
              </w:rPr>
              <w:t>Spherical QZ with diameter of 15cm</w:t>
            </w:r>
          </w:p>
        </w:tc>
        <w:tc>
          <w:tcPr>
            <w:tcW w:w="3727" w:type="dxa"/>
          </w:tcPr>
          <w:p w14:paraId="57581873" w14:textId="77777777" w:rsidR="00C709F1" w:rsidRDefault="00C709F1" w:rsidP="00155653">
            <w:pPr>
              <w:rPr>
                <w:rFonts w:eastAsia="Batang"/>
              </w:rPr>
            </w:pPr>
            <w:r>
              <w:rPr>
                <w:rFonts w:eastAsia="Batang"/>
              </w:rPr>
              <w:t>UE (RF, DEMOD, RRM) NR FR2 testing for smartphone UEs</w:t>
            </w:r>
          </w:p>
        </w:tc>
        <w:tc>
          <w:tcPr>
            <w:tcW w:w="1219" w:type="dxa"/>
          </w:tcPr>
          <w:p w14:paraId="69AEDBDA" w14:textId="0C9BC93E" w:rsidR="00C709F1" w:rsidRDefault="003021CC" w:rsidP="00155653">
            <w:pPr>
              <w:rPr>
                <w:rFonts w:eastAsia="Batang"/>
              </w:rPr>
            </w:pPr>
            <w:r>
              <w:rPr>
                <w:rFonts w:eastAsia="Batang"/>
              </w:rPr>
              <w:fldChar w:fldCharType="begin"/>
            </w:r>
            <w:r>
              <w:rPr>
                <w:rFonts w:eastAsia="Batang"/>
              </w:rPr>
              <w:instrText xml:space="preserve"> REF _Ref23775575 \r \h </w:instrText>
            </w:r>
            <w:r>
              <w:rPr>
                <w:rFonts w:eastAsia="Batang"/>
              </w:rPr>
            </w:r>
            <w:r>
              <w:rPr>
                <w:rFonts w:eastAsia="Batang"/>
              </w:rPr>
              <w:fldChar w:fldCharType="separate"/>
            </w:r>
            <w:r w:rsidR="00CE14C9">
              <w:rPr>
                <w:rFonts w:eastAsia="Batang"/>
              </w:rPr>
              <w:t>[2]</w:t>
            </w:r>
            <w:r>
              <w:rPr>
                <w:rFonts w:eastAsia="Batang"/>
              </w:rPr>
              <w:fldChar w:fldCharType="end"/>
            </w:r>
            <w:r w:rsidR="00C709F1">
              <w:rPr>
                <w:rFonts w:eastAsia="Batang"/>
              </w:rPr>
              <w:fldChar w:fldCharType="begin"/>
            </w:r>
            <w:r w:rsidR="00C709F1">
              <w:rPr>
                <w:rFonts w:eastAsia="Batang"/>
              </w:rPr>
              <w:instrText xml:space="preserve"> REF _Ref19279177 \n \h </w:instrText>
            </w:r>
            <w:r w:rsidR="00C709F1">
              <w:rPr>
                <w:rFonts w:eastAsia="Batang"/>
              </w:rPr>
            </w:r>
            <w:r w:rsidR="00C709F1">
              <w:rPr>
                <w:rFonts w:eastAsia="Batang"/>
              </w:rPr>
              <w:fldChar w:fldCharType="separate"/>
            </w:r>
            <w:r w:rsidR="00CE14C9">
              <w:rPr>
                <w:rFonts w:eastAsia="Batang"/>
              </w:rPr>
              <w:t>[3]</w:t>
            </w:r>
            <w:r w:rsidR="00C709F1">
              <w:rPr>
                <w:rFonts w:eastAsia="Batang"/>
              </w:rPr>
              <w:fldChar w:fldCharType="end"/>
            </w:r>
          </w:p>
        </w:tc>
      </w:tr>
      <w:tr w:rsidR="00C709F1" w14:paraId="1CBE6A4D" w14:textId="77777777" w:rsidTr="00155653">
        <w:tc>
          <w:tcPr>
            <w:tcW w:w="1336" w:type="dxa"/>
          </w:tcPr>
          <w:p w14:paraId="35063B28" w14:textId="77777777" w:rsidR="00C709F1" w:rsidRDefault="00C709F1" w:rsidP="00155653">
            <w:pPr>
              <w:rPr>
                <w:rFonts w:eastAsia="Batang"/>
              </w:rPr>
            </w:pPr>
            <w:r>
              <w:rPr>
                <w:rFonts w:eastAsia="Batang"/>
              </w:rPr>
              <w:t>20cm</w:t>
            </w:r>
          </w:p>
        </w:tc>
        <w:tc>
          <w:tcPr>
            <w:tcW w:w="3068" w:type="dxa"/>
          </w:tcPr>
          <w:p w14:paraId="4B183649" w14:textId="77777777" w:rsidR="00C709F1" w:rsidRDefault="00C709F1" w:rsidP="00155653">
            <w:pPr>
              <w:rPr>
                <w:rFonts w:eastAsia="Batang"/>
              </w:rPr>
            </w:pPr>
            <w:r>
              <w:rPr>
                <w:rFonts w:eastAsia="Batang"/>
              </w:rPr>
              <w:t>Spherical QZ with diameter of 20cm</w:t>
            </w:r>
          </w:p>
        </w:tc>
        <w:tc>
          <w:tcPr>
            <w:tcW w:w="3727" w:type="dxa"/>
          </w:tcPr>
          <w:p w14:paraId="7AE776AB" w14:textId="77777777" w:rsidR="00C709F1" w:rsidRDefault="00C709F1" w:rsidP="00155653">
            <w:pPr>
              <w:rPr>
                <w:rFonts w:eastAsia="Batang"/>
              </w:rPr>
            </w:pPr>
            <w:r>
              <w:rPr>
                <w:rFonts w:eastAsia="Batang"/>
              </w:rPr>
              <w:t>NR FR1 and FR2 MIMO OTA for handset devices</w:t>
            </w:r>
          </w:p>
        </w:tc>
        <w:tc>
          <w:tcPr>
            <w:tcW w:w="1219" w:type="dxa"/>
          </w:tcPr>
          <w:p w14:paraId="1CC06A65" w14:textId="1928A982" w:rsidR="00C709F1" w:rsidRDefault="00C709F1" w:rsidP="00155653">
            <w:pPr>
              <w:rPr>
                <w:rFonts w:eastAsia="Batang"/>
              </w:rPr>
            </w:pPr>
            <w:r>
              <w:rPr>
                <w:rFonts w:eastAsia="Batang"/>
              </w:rPr>
              <w:fldChar w:fldCharType="begin"/>
            </w:r>
            <w:r>
              <w:rPr>
                <w:rFonts w:eastAsia="Batang"/>
              </w:rPr>
              <w:instrText xml:space="preserve"> REF _Ref19279650 \n \h </w:instrText>
            </w:r>
            <w:r>
              <w:rPr>
                <w:rFonts w:eastAsia="Batang"/>
              </w:rPr>
            </w:r>
            <w:r>
              <w:rPr>
                <w:rFonts w:eastAsia="Batang"/>
              </w:rPr>
              <w:fldChar w:fldCharType="separate"/>
            </w:r>
            <w:r w:rsidR="00CE14C9">
              <w:rPr>
                <w:rFonts w:eastAsia="Batang"/>
              </w:rPr>
              <w:t>[4]</w:t>
            </w:r>
            <w:r>
              <w:rPr>
                <w:rFonts w:eastAsia="Batang"/>
              </w:rPr>
              <w:fldChar w:fldCharType="end"/>
            </w:r>
          </w:p>
        </w:tc>
      </w:tr>
      <w:tr w:rsidR="00C709F1" w14:paraId="0E0139D4" w14:textId="77777777" w:rsidTr="00155653">
        <w:tc>
          <w:tcPr>
            <w:tcW w:w="1336" w:type="dxa"/>
          </w:tcPr>
          <w:p w14:paraId="5000DBFF" w14:textId="77777777" w:rsidR="00C709F1" w:rsidRDefault="00C709F1" w:rsidP="00155653">
            <w:pPr>
              <w:rPr>
                <w:rFonts w:eastAsia="Batang"/>
              </w:rPr>
            </w:pPr>
            <w:r>
              <w:rPr>
                <w:rFonts w:eastAsia="Batang"/>
              </w:rPr>
              <w:t>30cm</w:t>
            </w:r>
          </w:p>
        </w:tc>
        <w:tc>
          <w:tcPr>
            <w:tcW w:w="3068" w:type="dxa"/>
          </w:tcPr>
          <w:p w14:paraId="4C049F2D" w14:textId="77777777" w:rsidR="00C709F1" w:rsidRPr="00155653" w:rsidRDefault="00C709F1" w:rsidP="00155653">
            <w:pPr>
              <w:contextualSpacing/>
              <w:rPr>
                <w:rFonts w:eastAsia="Batang"/>
              </w:rPr>
            </w:pPr>
            <w:r>
              <w:rPr>
                <w:rFonts w:eastAsia="Batang"/>
              </w:rPr>
              <w:t>Cylindrical QZ with diameter and height of 30cm</w:t>
            </w:r>
          </w:p>
        </w:tc>
        <w:tc>
          <w:tcPr>
            <w:tcW w:w="3727" w:type="dxa"/>
          </w:tcPr>
          <w:p w14:paraId="685B5D82" w14:textId="77777777" w:rsidR="00C709F1" w:rsidRPr="00155653" w:rsidRDefault="00C709F1" w:rsidP="00155653">
            <w:pPr>
              <w:contextualSpacing/>
              <w:rPr>
                <w:rFonts w:eastAsia="Batang"/>
              </w:rPr>
            </w:pPr>
            <w:r w:rsidRPr="00155653">
              <w:rPr>
                <w:rFonts w:eastAsia="Batang"/>
              </w:rPr>
              <w:t>2G/3G/4G SISO and LTE MIMO OTA testing</w:t>
            </w:r>
          </w:p>
        </w:tc>
        <w:tc>
          <w:tcPr>
            <w:tcW w:w="1219" w:type="dxa"/>
          </w:tcPr>
          <w:p w14:paraId="141F2E1A" w14:textId="1F0BB876" w:rsidR="00C709F1" w:rsidRDefault="00C709F1" w:rsidP="00155653">
            <w:pPr>
              <w:rPr>
                <w:rFonts w:eastAsia="Batang"/>
              </w:rPr>
            </w:pPr>
            <w:r>
              <w:rPr>
                <w:rFonts w:eastAsia="Batang"/>
              </w:rPr>
              <w:fldChar w:fldCharType="begin"/>
            </w:r>
            <w:r>
              <w:rPr>
                <w:rFonts w:eastAsia="Batang"/>
              </w:rPr>
              <w:instrText xml:space="preserve"> REF _Ref19279702 \w \h </w:instrText>
            </w:r>
            <w:r>
              <w:rPr>
                <w:rFonts w:eastAsia="Batang"/>
              </w:rPr>
            </w:r>
            <w:r>
              <w:rPr>
                <w:rFonts w:eastAsia="Batang"/>
              </w:rPr>
              <w:fldChar w:fldCharType="separate"/>
            </w:r>
            <w:r w:rsidR="00CE14C9">
              <w:rPr>
                <w:rFonts w:eastAsia="Batang"/>
              </w:rPr>
              <w:t>[5]</w:t>
            </w:r>
            <w:r>
              <w:rPr>
                <w:rFonts w:eastAsia="Batang"/>
              </w:rPr>
              <w:fldChar w:fldCharType="end"/>
            </w:r>
            <w:r>
              <w:rPr>
                <w:rFonts w:eastAsia="Batang"/>
              </w:rPr>
              <w:fldChar w:fldCharType="begin"/>
            </w:r>
            <w:r>
              <w:rPr>
                <w:rFonts w:eastAsia="Batang"/>
              </w:rPr>
              <w:instrText xml:space="preserve"> REF _Ref19279614 \n \h </w:instrText>
            </w:r>
            <w:r>
              <w:rPr>
                <w:rFonts w:eastAsia="Batang"/>
              </w:rPr>
            </w:r>
            <w:r>
              <w:rPr>
                <w:rFonts w:eastAsia="Batang"/>
              </w:rPr>
              <w:fldChar w:fldCharType="separate"/>
            </w:r>
            <w:r w:rsidR="00CE14C9">
              <w:rPr>
                <w:rFonts w:eastAsia="Batang"/>
              </w:rPr>
              <w:t>[6]</w:t>
            </w:r>
            <w:r>
              <w:rPr>
                <w:rFonts w:eastAsia="Batang"/>
              </w:rPr>
              <w:fldChar w:fldCharType="end"/>
            </w:r>
          </w:p>
          <w:p w14:paraId="0B38682D" w14:textId="77777777" w:rsidR="00C709F1" w:rsidRDefault="00C709F1" w:rsidP="00155653">
            <w:pPr>
              <w:rPr>
                <w:rFonts w:eastAsia="Batang"/>
              </w:rPr>
            </w:pPr>
          </w:p>
        </w:tc>
      </w:tr>
      <w:tr w:rsidR="00C709F1" w14:paraId="1B5F7159" w14:textId="77777777" w:rsidTr="00155653">
        <w:tc>
          <w:tcPr>
            <w:tcW w:w="1336" w:type="dxa"/>
          </w:tcPr>
          <w:p w14:paraId="60142553" w14:textId="77777777" w:rsidR="00C709F1" w:rsidRDefault="00C709F1" w:rsidP="00155653">
            <w:pPr>
              <w:rPr>
                <w:rFonts w:eastAsia="Batang"/>
              </w:rPr>
            </w:pPr>
            <w:r>
              <w:rPr>
                <w:rFonts w:eastAsia="Batang"/>
              </w:rPr>
              <w:t>30cm</w:t>
            </w:r>
          </w:p>
        </w:tc>
        <w:tc>
          <w:tcPr>
            <w:tcW w:w="3068" w:type="dxa"/>
          </w:tcPr>
          <w:p w14:paraId="7FE8BA8A" w14:textId="77777777" w:rsidR="00C709F1" w:rsidRPr="00155653" w:rsidRDefault="00C709F1" w:rsidP="00155653">
            <w:pPr>
              <w:contextualSpacing/>
              <w:rPr>
                <w:rFonts w:eastAsia="Batang"/>
              </w:rPr>
            </w:pPr>
            <w:r>
              <w:rPr>
                <w:rFonts w:eastAsia="Batang"/>
              </w:rPr>
              <w:t>Spherical QZ with diameter of 30cm</w:t>
            </w:r>
          </w:p>
        </w:tc>
        <w:tc>
          <w:tcPr>
            <w:tcW w:w="3727" w:type="dxa"/>
          </w:tcPr>
          <w:p w14:paraId="1E4934B9" w14:textId="77777777" w:rsidR="00C709F1" w:rsidRPr="00155653" w:rsidRDefault="00C709F1" w:rsidP="00155653">
            <w:pPr>
              <w:contextualSpacing/>
              <w:rPr>
                <w:rFonts w:eastAsia="Batang"/>
              </w:rPr>
            </w:pPr>
            <w:r w:rsidRPr="000C1FFC">
              <w:rPr>
                <w:rFonts w:eastAsia="Batang"/>
              </w:rPr>
              <w:t>UE (RF, DEMOD, RRM) NR FR2 testing</w:t>
            </w:r>
          </w:p>
        </w:tc>
        <w:tc>
          <w:tcPr>
            <w:tcW w:w="1219" w:type="dxa"/>
          </w:tcPr>
          <w:p w14:paraId="797868F5" w14:textId="06474A41" w:rsidR="00C709F1" w:rsidRDefault="003021CC" w:rsidP="00155653">
            <w:pPr>
              <w:rPr>
                <w:rFonts w:eastAsia="Batang"/>
              </w:rPr>
            </w:pPr>
            <w:r>
              <w:rPr>
                <w:rFonts w:eastAsia="Batang"/>
              </w:rPr>
              <w:fldChar w:fldCharType="begin"/>
            </w:r>
            <w:r>
              <w:rPr>
                <w:rFonts w:eastAsia="Batang"/>
              </w:rPr>
              <w:instrText xml:space="preserve"> REF _Ref23775575 \r \h </w:instrText>
            </w:r>
            <w:r>
              <w:rPr>
                <w:rFonts w:eastAsia="Batang"/>
              </w:rPr>
            </w:r>
            <w:r>
              <w:rPr>
                <w:rFonts w:eastAsia="Batang"/>
              </w:rPr>
              <w:fldChar w:fldCharType="separate"/>
            </w:r>
            <w:r w:rsidR="00CE14C9">
              <w:rPr>
                <w:rFonts w:eastAsia="Batang"/>
              </w:rPr>
              <w:t>[2]</w:t>
            </w:r>
            <w:r>
              <w:rPr>
                <w:rFonts w:eastAsia="Batang"/>
              </w:rPr>
              <w:fldChar w:fldCharType="end"/>
            </w:r>
            <w:r w:rsidR="00C709F1">
              <w:rPr>
                <w:rFonts w:eastAsia="Batang"/>
              </w:rPr>
              <w:fldChar w:fldCharType="begin"/>
            </w:r>
            <w:r w:rsidR="00C709F1">
              <w:rPr>
                <w:rFonts w:eastAsia="Batang"/>
              </w:rPr>
              <w:instrText xml:space="preserve"> REF _Ref19279177 \n \h </w:instrText>
            </w:r>
            <w:r w:rsidR="00C709F1">
              <w:rPr>
                <w:rFonts w:eastAsia="Batang"/>
              </w:rPr>
            </w:r>
            <w:r w:rsidR="00C709F1">
              <w:rPr>
                <w:rFonts w:eastAsia="Batang"/>
              </w:rPr>
              <w:fldChar w:fldCharType="separate"/>
            </w:r>
            <w:r w:rsidR="00CE14C9">
              <w:rPr>
                <w:rFonts w:eastAsia="Batang"/>
              </w:rPr>
              <w:t>[3]</w:t>
            </w:r>
            <w:r w:rsidR="00C709F1">
              <w:rPr>
                <w:rFonts w:eastAsia="Batang"/>
              </w:rPr>
              <w:fldChar w:fldCharType="end"/>
            </w:r>
          </w:p>
        </w:tc>
      </w:tr>
      <w:tr w:rsidR="00C709F1" w14:paraId="7C90FA1D" w14:textId="77777777" w:rsidTr="00155653">
        <w:tc>
          <w:tcPr>
            <w:tcW w:w="1336" w:type="dxa"/>
          </w:tcPr>
          <w:p w14:paraId="378C1E00" w14:textId="77777777" w:rsidR="00C709F1" w:rsidRDefault="00C709F1" w:rsidP="00155653">
            <w:pPr>
              <w:rPr>
                <w:rFonts w:eastAsia="Batang"/>
              </w:rPr>
            </w:pPr>
            <w:r>
              <w:rPr>
                <w:rFonts w:eastAsia="Batang"/>
              </w:rPr>
              <w:t>50cm</w:t>
            </w:r>
          </w:p>
        </w:tc>
        <w:tc>
          <w:tcPr>
            <w:tcW w:w="3068" w:type="dxa"/>
          </w:tcPr>
          <w:p w14:paraId="1567C875" w14:textId="77777777" w:rsidR="00C709F1" w:rsidRDefault="00C709F1" w:rsidP="00155653">
            <w:pPr>
              <w:rPr>
                <w:rFonts w:eastAsia="Batang"/>
              </w:rPr>
            </w:pPr>
            <w:r>
              <w:rPr>
                <w:rFonts w:eastAsia="Batang"/>
              </w:rPr>
              <w:t>Cylindrical QZ with diameter of 50cm and height of 36cm</w:t>
            </w:r>
          </w:p>
        </w:tc>
        <w:tc>
          <w:tcPr>
            <w:tcW w:w="3727" w:type="dxa"/>
          </w:tcPr>
          <w:p w14:paraId="4981FDE8" w14:textId="77777777" w:rsidR="00C709F1" w:rsidRDefault="00C709F1" w:rsidP="00155653">
            <w:pPr>
              <w:rPr>
                <w:rFonts w:eastAsia="Batang"/>
              </w:rPr>
            </w:pPr>
            <w:r>
              <w:rPr>
                <w:rFonts w:eastAsia="Batang"/>
              </w:rPr>
              <w:t xml:space="preserve">2G/3G/4G </w:t>
            </w:r>
            <w:r w:rsidRPr="00733019">
              <w:rPr>
                <w:rFonts w:eastAsia="Batang"/>
              </w:rPr>
              <w:t>SISO</w:t>
            </w:r>
            <w:r>
              <w:rPr>
                <w:rFonts w:eastAsia="Batang"/>
              </w:rPr>
              <w:t xml:space="preserve"> OTA testing of notebooks and tablets</w:t>
            </w:r>
          </w:p>
        </w:tc>
        <w:tc>
          <w:tcPr>
            <w:tcW w:w="1219" w:type="dxa"/>
          </w:tcPr>
          <w:p w14:paraId="1AF6791C" w14:textId="0C2E0FD1" w:rsidR="00C709F1" w:rsidRDefault="00C709F1" w:rsidP="00155653">
            <w:pPr>
              <w:rPr>
                <w:rFonts w:eastAsia="Batang"/>
              </w:rPr>
            </w:pPr>
            <w:r>
              <w:rPr>
                <w:rFonts w:eastAsia="Batang"/>
              </w:rPr>
              <w:fldChar w:fldCharType="begin"/>
            </w:r>
            <w:r>
              <w:rPr>
                <w:rFonts w:eastAsia="Batang"/>
              </w:rPr>
              <w:instrText xml:space="preserve"> REF _Ref19279702 \w \h </w:instrText>
            </w:r>
            <w:r>
              <w:rPr>
                <w:rFonts w:eastAsia="Batang"/>
              </w:rPr>
            </w:r>
            <w:r>
              <w:rPr>
                <w:rFonts w:eastAsia="Batang"/>
              </w:rPr>
              <w:fldChar w:fldCharType="separate"/>
            </w:r>
            <w:r w:rsidR="00CE14C9">
              <w:rPr>
                <w:rFonts w:eastAsia="Batang"/>
              </w:rPr>
              <w:t>[5]</w:t>
            </w:r>
            <w:r>
              <w:rPr>
                <w:rFonts w:eastAsia="Batang"/>
              </w:rPr>
              <w:fldChar w:fldCharType="end"/>
            </w:r>
          </w:p>
        </w:tc>
      </w:tr>
    </w:tbl>
    <w:p w14:paraId="60D82DA8" w14:textId="77777777" w:rsidR="00C709F1" w:rsidRDefault="00C709F1" w:rsidP="00C709F1">
      <w:pPr>
        <w:rPr>
          <w:rFonts w:eastAsia="Batang"/>
        </w:rPr>
      </w:pPr>
    </w:p>
    <w:p w14:paraId="605C8170" w14:textId="44E11B6B" w:rsidR="00C709F1" w:rsidRDefault="00C709F1" w:rsidP="00C709F1">
      <w:pPr>
        <w:rPr>
          <w:rFonts w:eastAsia="Batang"/>
        </w:rPr>
      </w:pPr>
      <w:r>
        <w:rPr>
          <w:rFonts w:eastAsia="Batang"/>
        </w:rPr>
        <w:t xml:space="preserve">The 15cm </w:t>
      </w:r>
      <w:r w:rsidR="00761882">
        <w:rPr>
          <w:rFonts w:eastAsia="Batang"/>
        </w:rPr>
        <w:t xml:space="preserve">spherical </w:t>
      </w:r>
      <w:r>
        <w:rPr>
          <w:rFonts w:eastAsia="Batang"/>
        </w:rPr>
        <w:t xml:space="preserve">QZ size for NR FR2 was defined in 2017 by 3GPP RAN4 as part of the </w:t>
      </w:r>
      <w:proofErr w:type="spellStart"/>
      <w:r w:rsidRPr="001E3812">
        <w:rPr>
          <w:rFonts w:eastAsia="Batang"/>
        </w:rPr>
        <w:t>FS_NR_testMethods</w:t>
      </w:r>
      <w:proofErr w:type="spellEnd"/>
      <w:r w:rsidRPr="001E3812">
        <w:rPr>
          <w:rFonts w:eastAsia="Batang"/>
        </w:rPr>
        <w:t xml:space="preserve"> </w:t>
      </w:r>
      <w:r>
        <w:rPr>
          <w:rFonts w:eastAsia="Batang"/>
        </w:rPr>
        <w:t xml:space="preserve">Study Item in </w:t>
      </w:r>
      <w:r>
        <w:rPr>
          <w:rFonts w:eastAsia="Batang"/>
        </w:rPr>
        <w:fldChar w:fldCharType="begin"/>
      </w:r>
      <w:r>
        <w:rPr>
          <w:rFonts w:eastAsia="Batang"/>
        </w:rPr>
        <w:instrText xml:space="preserve"> REF _Ref19542703 \w \h </w:instrText>
      </w:r>
      <w:r>
        <w:rPr>
          <w:rFonts w:eastAsia="Batang"/>
        </w:rPr>
      </w:r>
      <w:r>
        <w:rPr>
          <w:rFonts w:eastAsia="Batang"/>
        </w:rPr>
        <w:fldChar w:fldCharType="separate"/>
      </w:r>
      <w:r w:rsidR="00CE14C9">
        <w:rPr>
          <w:rFonts w:eastAsia="Batang"/>
        </w:rPr>
        <w:t>[7]</w:t>
      </w:r>
      <w:r>
        <w:rPr>
          <w:rFonts w:eastAsia="Batang"/>
        </w:rPr>
        <w:fldChar w:fldCharType="end"/>
      </w:r>
      <w:r>
        <w:rPr>
          <w:rFonts w:eastAsia="Batang"/>
        </w:rPr>
        <w:t xml:space="preserve"> and seemed rather arbitrary</w:t>
      </w:r>
    </w:p>
    <w:p w14:paraId="57DE85BF" w14:textId="77777777" w:rsidR="00C709F1" w:rsidRPr="00610C74" w:rsidRDefault="00C709F1" w:rsidP="00C709F1">
      <w:pPr>
        <w:pBdr>
          <w:top w:val="single" w:sz="4" w:space="1" w:color="auto"/>
          <w:left w:val="single" w:sz="4" w:space="4" w:color="auto"/>
          <w:bottom w:val="single" w:sz="4" w:space="1" w:color="auto"/>
          <w:right w:val="single" w:sz="4" w:space="4" w:color="auto"/>
          <w:between w:val="single" w:sz="4" w:space="1" w:color="auto"/>
          <w:bar w:val="single" w:sz="4" w:color="auto"/>
        </w:pBdr>
        <w:rPr>
          <w:rFonts w:eastAsia="Batang"/>
        </w:rPr>
      </w:pPr>
      <w:r w:rsidRPr="00620485">
        <w:rPr>
          <w:rFonts w:eastAsia="Batang"/>
        </w:rPr>
        <w:t xml:space="preserve">The MU assumptions of this SI </w:t>
      </w:r>
      <w:r w:rsidRPr="00620485">
        <w:rPr>
          <w:rFonts w:eastAsia="Batang"/>
          <w:highlight w:val="yellow"/>
        </w:rPr>
        <w:t>are based on a smartphone DUT</w:t>
      </w:r>
      <w:r w:rsidRPr="00620485">
        <w:rPr>
          <w:rFonts w:eastAsia="Batang"/>
        </w:rPr>
        <w:t xml:space="preserve"> [RAN4 #82bis R4-1704396] </w:t>
      </w:r>
      <w:r w:rsidRPr="00620485">
        <w:rPr>
          <w:rFonts w:eastAsia="Batang"/>
          <w:highlight w:val="yellow"/>
        </w:rPr>
        <w:t>with max quiet zone size of 15cm in diameter</w:t>
      </w:r>
    </w:p>
    <w:p w14:paraId="0EBDC4FC" w14:textId="286C69F7" w:rsidR="00C709F1" w:rsidRDefault="00C709F1" w:rsidP="00C709F1">
      <w:pPr>
        <w:rPr>
          <w:rFonts w:eastAsia="Batang"/>
        </w:rPr>
      </w:pPr>
      <w:r>
        <w:rPr>
          <w:rFonts w:eastAsia="Batang"/>
        </w:rPr>
        <w:t xml:space="preserve">The 20cm test zone size was introduced for handheld UEs in 2019 as part of the </w:t>
      </w:r>
      <w:proofErr w:type="spellStart"/>
      <w:r w:rsidRPr="00690114">
        <w:t>NR_MIMO_OTA_TestMethod</w:t>
      </w:r>
      <w:proofErr w:type="spellEnd"/>
      <w:r w:rsidRPr="00251D80">
        <w:t xml:space="preserve"> </w:t>
      </w:r>
      <w:r>
        <w:t xml:space="preserve">Study Item in </w:t>
      </w:r>
      <w:r>
        <w:fldChar w:fldCharType="begin"/>
      </w:r>
      <w:r>
        <w:instrText xml:space="preserve"> REF _Ref19542997 \w \h </w:instrText>
      </w:r>
      <w:r>
        <w:fldChar w:fldCharType="separate"/>
      </w:r>
      <w:r w:rsidR="00CE14C9">
        <w:t>[8]</w:t>
      </w:r>
      <w:r>
        <w:fldChar w:fldCharType="end"/>
      </w:r>
      <w:r>
        <w:t xml:space="preserve">. This definition was based on a thorough review of dimensions for 135 different LTE capable handsets certified in CAICT’s lab in 2018. The conclusion of the CDF analysis was that a </w:t>
      </w:r>
      <w:r w:rsidRPr="00610C74">
        <w:rPr>
          <w:rFonts w:eastAsia="Batang"/>
        </w:rPr>
        <w:t>20cm test zone size covers (almost) all smartphones</w:t>
      </w:r>
      <w:r>
        <w:rPr>
          <w:rFonts w:eastAsia="Batang"/>
        </w:rPr>
        <w:t xml:space="preserve">; it also shows none of the tested LTE smartphones could fit into the 15cm quiet zone size. </w:t>
      </w:r>
    </w:p>
    <w:p w14:paraId="213AADCC" w14:textId="77777777" w:rsidR="00C709F1" w:rsidRDefault="00C709F1" w:rsidP="00C709F1">
      <w:pPr>
        <w:jc w:val="center"/>
        <w:rPr>
          <w:rFonts w:eastAsia="Batang"/>
        </w:rPr>
      </w:pPr>
      <w:r w:rsidRPr="00BE3655">
        <w:rPr>
          <w:noProof/>
          <w:lang w:eastAsia="zh-CN"/>
        </w:rPr>
        <w:lastRenderedPageBreak/>
        <w:drawing>
          <wp:inline distT="0" distB="0" distL="0" distR="0" wp14:anchorId="2D976621" wp14:editId="29B22F5C">
            <wp:extent cx="4262755" cy="2348179"/>
            <wp:effectExtent l="0" t="0" r="4445" b="14605"/>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2A3211" w14:textId="5572504D" w:rsidR="00C709F1" w:rsidRPr="00C64501" w:rsidRDefault="00C709F1" w:rsidP="00C709F1">
      <w:pPr>
        <w:pStyle w:val="Caption"/>
        <w:rPr>
          <w:rFonts w:eastAsia="SimSun"/>
          <w:lang w:eastAsia="zh-CN"/>
        </w:rPr>
      </w:pPr>
      <w:r>
        <w:t xml:space="preserve">Figure </w:t>
      </w:r>
      <w:r>
        <w:rPr>
          <w:noProof/>
        </w:rPr>
        <w:fldChar w:fldCharType="begin"/>
      </w:r>
      <w:r>
        <w:rPr>
          <w:noProof/>
        </w:rPr>
        <w:instrText xml:space="preserve"> SEQ Figure \* ARABIC </w:instrText>
      </w:r>
      <w:r>
        <w:rPr>
          <w:noProof/>
        </w:rPr>
        <w:fldChar w:fldCharType="separate"/>
      </w:r>
      <w:r w:rsidR="00CE14C9">
        <w:rPr>
          <w:noProof/>
        </w:rPr>
        <w:t>1</w:t>
      </w:r>
      <w:r>
        <w:rPr>
          <w:noProof/>
        </w:rPr>
        <w:fldChar w:fldCharType="end"/>
      </w:r>
      <w:r>
        <w:t xml:space="preserve">: </w:t>
      </w:r>
      <w:r w:rsidRPr="00C64501">
        <w:rPr>
          <w:rFonts w:eastAsia="SimSun"/>
          <w:lang w:eastAsia="zh-CN"/>
        </w:rPr>
        <w:t xml:space="preserve">The CDF curve of 135 wide </w:t>
      </w:r>
      <w:r>
        <w:rPr>
          <w:rFonts w:eastAsia="SimSun"/>
          <w:lang w:eastAsia="zh-CN"/>
        </w:rPr>
        <w:t xml:space="preserve">LTE handsets </w:t>
      </w:r>
      <w:r w:rsidRPr="00C64501">
        <w:rPr>
          <w:rFonts w:eastAsia="SimSun"/>
          <w:lang w:eastAsia="zh-CN"/>
        </w:rPr>
        <w:t>(width &gt;72</w:t>
      </w:r>
      <w:r>
        <w:rPr>
          <w:rFonts w:eastAsia="SimSun"/>
          <w:lang w:eastAsia="zh-CN"/>
        </w:rPr>
        <w:t>m</w:t>
      </w:r>
      <w:r w:rsidRPr="00C64501">
        <w:rPr>
          <w:rFonts w:eastAsia="SimSun"/>
          <w:lang w:eastAsia="zh-CN"/>
        </w:rPr>
        <w:t>m) in 2018 CTA data pool from CAICT OTA lab</w:t>
      </w:r>
      <w:r>
        <w:rPr>
          <w:rFonts w:eastAsia="SimSun"/>
          <w:lang w:eastAsia="zh-CN"/>
        </w:rPr>
        <w:t xml:space="preserve"> (from </w:t>
      </w:r>
      <w:r>
        <w:rPr>
          <w:rFonts w:eastAsia="SimSun"/>
          <w:lang w:eastAsia="zh-CN"/>
        </w:rPr>
        <w:fldChar w:fldCharType="begin"/>
      </w:r>
      <w:r>
        <w:rPr>
          <w:rFonts w:eastAsia="SimSun"/>
          <w:lang w:eastAsia="zh-CN"/>
        </w:rPr>
        <w:instrText xml:space="preserve"> REF _Ref19542997 \w \h </w:instrText>
      </w:r>
      <w:r>
        <w:rPr>
          <w:rFonts w:eastAsia="SimSun"/>
          <w:lang w:eastAsia="zh-CN"/>
        </w:rPr>
      </w:r>
      <w:r>
        <w:rPr>
          <w:rFonts w:eastAsia="SimSun"/>
          <w:lang w:eastAsia="zh-CN"/>
        </w:rPr>
        <w:fldChar w:fldCharType="separate"/>
      </w:r>
      <w:r w:rsidR="00CE14C9">
        <w:rPr>
          <w:rFonts w:eastAsia="SimSun"/>
          <w:lang w:eastAsia="zh-CN"/>
        </w:rPr>
        <w:t>[8]</w:t>
      </w:r>
      <w:r>
        <w:rPr>
          <w:rFonts w:eastAsia="SimSun"/>
          <w:lang w:eastAsia="zh-CN"/>
        </w:rPr>
        <w:fldChar w:fldCharType="end"/>
      </w:r>
      <w:r>
        <w:rPr>
          <w:rFonts w:eastAsia="SimSun"/>
          <w:lang w:eastAsia="zh-CN"/>
        </w:rPr>
        <w:t>)</w:t>
      </w:r>
    </w:p>
    <w:p w14:paraId="64CF908A" w14:textId="44771CAD" w:rsidR="00C709F1" w:rsidRDefault="00C709F1" w:rsidP="00C709F1">
      <w:pPr>
        <w:rPr>
          <w:rFonts w:eastAsia="Batang"/>
        </w:rPr>
      </w:pPr>
      <w:bookmarkStart w:id="4" w:name="_Ref19707969"/>
      <w:bookmarkStart w:id="5" w:name="_Ref19707965"/>
      <w:r>
        <w:rPr>
          <w:rFonts w:eastAsia="Batang"/>
        </w:rPr>
        <w:t xml:space="preserve">To determine the applicability of current, commercially available smartphones to a 15cm quiet zone, a brief survey of smartphone dimension was conducted to study the required quiet zone sizes for these devices. </w:t>
      </w:r>
      <w:proofErr w:type="gramStart"/>
      <w:r>
        <w:rPr>
          <w:rFonts w:eastAsia="Batang"/>
        </w:rPr>
        <w:t>All of</w:t>
      </w:r>
      <w:proofErr w:type="gramEnd"/>
      <w:r>
        <w:rPr>
          <w:rFonts w:eastAsia="Batang"/>
        </w:rPr>
        <w:t xml:space="preserve"> these models support LTE and were listed on at least one of the US operator’s websites in September 2019. The results of the survey are tabulated in </w:t>
      </w:r>
      <w:r>
        <w:rPr>
          <w:rFonts w:eastAsia="Batang"/>
        </w:rPr>
        <w:fldChar w:fldCharType="begin"/>
      </w:r>
      <w:r>
        <w:rPr>
          <w:rFonts w:eastAsia="Batang"/>
        </w:rPr>
        <w:instrText xml:space="preserve"> REF _Ref20225865 \h </w:instrText>
      </w:r>
      <w:r>
        <w:rPr>
          <w:rFonts w:eastAsia="Batang"/>
        </w:rPr>
      </w:r>
      <w:r>
        <w:rPr>
          <w:rFonts w:eastAsia="Batang"/>
        </w:rPr>
        <w:fldChar w:fldCharType="separate"/>
      </w:r>
      <w:r w:rsidR="00CE14C9">
        <w:t xml:space="preserve">Table </w:t>
      </w:r>
      <w:r w:rsidR="00CE14C9">
        <w:rPr>
          <w:noProof/>
        </w:rPr>
        <w:t>2</w:t>
      </w:r>
      <w:r>
        <w:rPr>
          <w:rFonts w:eastAsia="Batang"/>
        </w:rPr>
        <w:fldChar w:fldCharType="end"/>
      </w:r>
      <w:r>
        <w:rPr>
          <w:rFonts w:eastAsia="Batang"/>
        </w:rPr>
        <w:t>.</w:t>
      </w:r>
    </w:p>
    <w:p w14:paraId="09E8DA39" w14:textId="54110052" w:rsidR="00C709F1" w:rsidRDefault="00C709F1" w:rsidP="00FA0BA7">
      <w:pPr>
        <w:pStyle w:val="Caption"/>
        <w:jc w:val="center"/>
        <w:rPr>
          <w:rFonts w:eastAsia="Batang"/>
        </w:rPr>
      </w:pPr>
      <w:bookmarkStart w:id="6" w:name="_Ref20225865"/>
      <w:r>
        <w:t xml:space="preserve">Table </w:t>
      </w:r>
      <w:r>
        <w:rPr>
          <w:noProof/>
        </w:rPr>
        <w:fldChar w:fldCharType="begin"/>
      </w:r>
      <w:r>
        <w:rPr>
          <w:noProof/>
        </w:rPr>
        <w:instrText xml:space="preserve"> SEQ Table \* ARABIC </w:instrText>
      </w:r>
      <w:r>
        <w:rPr>
          <w:noProof/>
        </w:rPr>
        <w:fldChar w:fldCharType="separate"/>
      </w:r>
      <w:r w:rsidR="00CE14C9">
        <w:rPr>
          <w:noProof/>
        </w:rPr>
        <w:t>2</w:t>
      </w:r>
      <w:r>
        <w:rPr>
          <w:noProof/>
        </w:rPr>
        <w:fldChar w:fldCharType="end"/>
      </w:r>
      <w:bookmarkEnd w:id="4"/>
      <w:bookmarkEnd w:id="6"/>
      <w:r>
        <w:t>: Survey of commercially</w:t>
      </w:r>
      <w:r>
        <w:rPr>
          <w:noProof/>
        </w:rPr>
        <w:t xml:space="preserve"> available </w:t>
      </w:r>
      <w:bookmarkEnd w:id="5"/>
      <w:r>
        <w:rPr>
          <w:noProof/>
        </w:rPr>
        <w:t>smartphones on US operator websites (September 2019)</w:t>
      </w:r>
    </w:p>
    <w:tbl>
      <w:tblPr>
        <w:tblW w:w="6860" w:type="dxa"/>
        <w:jc w:val="center"/>
        <w:tblLook w:val="04A0" w:firstRow="1" w:lastRow="0" w:firstColumn="1" w:lastColumn="0" w:noHBand="0" w:noVBand="1"/>
      </w:tblPr>
      <w:tblGrid>
        <w:gridCol w:w="2695"/>
        <w:gridCol w:w="819"/>
        <w:gridCol w:w="943"/>
        <w:gridCol w:w="936"/>
        <w:gridCol w:w="1560"/>
      </w:tblGrid>
      <w:tr w:rsidR="00C709F1" w:rsidRPr="00567BA9" w14:paraId="00CB0D35" w14:textId="77777777" w:rsidTr="00155653">
        <w:trPr>
          <w:trHeight w:val="290"/>
          <w:jc w:val="center"/>
        </w:trPr>
        <w:tc>
          <w:tcPr>
            <w:tcW w:w="26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87940"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Models</w:t>
            </w:r>
          </w:p>
        </w:tc>
        <w:tc>
          <w:tcPr>
            <w:tcW w:w="2605" w:type="dxa"/>
            <w:gridSpan w:val="3"/>
            <w:tcBorders>
              <w:top w:val="single" w:sz="4" w:space="0" w:color="auto"/>
              <w:left w:val="nil"/>
              <w:bottom w:val="single" w:sz="4" w:space="0" w:color="auto"/>
              <w:right w:val="single" w:sz="4" w:space="0" w:color="auto"/>
            </w:tcBorders>
            <w:shd w:val="clear" w:color="auto" w:fill="auto"/>
            <w:noWrap/>
            <w:vAlign w:val="bottom"/>
            <w:hideMark/>
          </w:tcPr>
          <w:p w14:paraId="71205D18"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Typical Dimensions [cm]</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1A0618D"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 xml:space="preserve">Min. </w:t>
            </w:r>
            <w:r>
              <w:rPr>
                <w:rFonts w:ascii="Calibri" w:hAnsi="Calibri" w:cs="Calibri"/>
                <w:b/>
                <w:bCs/>
                <w:color w:val="000000"/>
                <w:sz w:val="22"/>
                <w:szCs w:val="22"/>
              </w:rPr>
              <w:t xml:space="preserve">Spherical </w:t>
            </w:r>
            <w:r w:rsidRPr="00567BA9">
              <w:rPr>
                <w:rFonts w:ascii="Calibri" w:hAnsi="Calibri" w:cs="Calibri"/>
                <w:b/>
                <w:bCs/>
                <w:color w:val="000000"/>
                <w:sz w:val="22"/>
                <w:szCs w:val="22"/>
              </w:rPr>
              <w:t xml:space="preserve">Quiet Zone </w:t>
            </w:r>
            <w:r>
              <w:rPr>
                <w:rFonts w:ascii="Calibri" w:hAnsi="Calibri" w:cs="Calibri"/>
                <w:b/>
                <w:bCs/>
                <w:color w:val="000000"/>
                <w:sz w:val="22"/>
                <w:szCs w:val="22"/>
              </w:rPr>
              <w:t xml:space="preserve">Diameter </w:t>
            </w:r>
            <w:r w:rsidRPr="00567BA9">
              <w:rPr>
                <w:rFonts w:ascii="Calibri" w:hAnsi="Calibri" w:cs="Calibri"/>
                <w:b/>
                <w:bCs/>
                <w:color w:val="000000"/>
                <w:sz w:val="22"/>
                <w:szCs w:val="22"/>
              </w:rPr>
              <w:t>[cm]</w:t>
            </w:r>
          </w:p>
        </w:tc>
      </w:tr>
      <w:tr w:rsidR="00C709F1" w:rsidRPr="00567BA9" w14:paraId="02B8DB25" w14:textId="77777777" w:rsidTr="00155653">
        <w:trPr>
          <w:trHeight w:val="290"/>
          <w:jc w:val="center"/>
        </w:trPr>
        <w:tc>
          <w:tcPr>
            <w:tcW w:w="2695" w:type="dxa"/>
            <w:vMerge/>
            <w:tcBorders>
              <w:top w:val="single" w:sz="4" w:space="0" w:color="auto"/>
              <w:left w:val="single" w:sz="4" w:space="0" w:color="auto"/>
              <w:bottom w:val="single" w:sz="4" w:space="0" w:color="auto"/>
              <w:right w:val="single" w:sz="4" w:space="0" w:color="auto"/>
            </w:tcBorders>
            <w:vAlign w:val="center"/>
            <w:hideMark/>
          </w:tcPr>
          <w:p w14:paraId="08C65977" w14:textId="77777777" w:rsidR="00C709F1" w:rsidRPr="00567BA9" w:rsidRDefault="00C709F1" w:rsidP="00155653">
            <w:pPr>
              <w:rPr>
                <w:rFonts w:ascii="Calibri" w:hAnsi="Calibri" w:cs="Calibri"/>
                <w:b/>
                <w:bCs/>
                <w:color w:val="000000"/>
                <w:sz w:val="22"/>
                <w:szCs w:val="22"/>
              </w:rPr>
            </w:pPr>
          </w:p>
        </w:tc>
        <w:tc>
          <w:tcPr>
            <w:tcW w:w="726" w:type="dxa"/>
            <w:tcBorders>
              <w:top w:val="nil"/>
              <w:left w:val="nil"/>
              <w:bottom w:val="single" w:sz="4" w:space="0" w:color="auto"/>
              <w:right w:val="single" w:sz="4" w:space="0" w:color="auto"/>
            </w:tcBorders>
            <w:shd w:val="clear" w:color="auto" w:fill="auto"/>
            <w:noWrap/>
            <w:vAlign w:val="bottom"/>
            <w:hideMark/>
          </w:tcPr>
          <w:p w14:paraId="3C62D37A" w14:textId="77777777" w:rsidR="00C709F1" w:rsidRPr="00567BA9" w:rsidRDefault="00C709F1" w:rsidP="00155653">
            <w:pPr>
              <w:rPr>
                <w:rFonts w:ascii="Calibri" w:hAnsi="Calibri" w:cs="Calibri"/>
                <w:b/>
                <w:bCs/>
                <w:color w:val="000000"/>
                <w:sz w:val="22"/>
                <w:szCs w:val="22"/>
              </w:rPr>
            </w:pPr>
            <w:r w:rsidRPr="00567BA9">
              <w:rPr>
                <w:rFonts w:ascii="Calibri" w:hAnsi="Calibri" w:cs="Calibri"/>
                <w:b/>
                <w:bCs/>
                <w:color w:val="000000"/>
                <w:sz w:val="22"/>
                <w:szCs w:val="22"/>
              </w:rPr>
              <w:t>Height</w:t>
            </w:r>
          </w:p>
        </w:tc>
        <w:tc>
          <w:tcPr>
            <w:tcW w:w="943" w:type="dxa"/>
            <w:tcBorders>
              <w:top w:val="nil"/>
              <w:left w:val="nil"/>
              <w:bottom w:val="single" w:sz="4" w:space="0" w:color="auto"/>
              <w:right w:val="single" w:sz="4" w:space="0" w:color="auto"/>
            </w:tcBorders>
            <w:shd w:val="clear" w:color="auto" w:fill="auto"/>
            <w:noWrap/>
            <w:vAlign w:val="bottom"/>
            <w:hideMark/>
          </w:tcPr>
          <w:p w14:paraId="3657C516" w14:textId="77777777" w:rsidR="00C709F1" w:rsidRPr="00567BA9" w:rsidRDefault="00C709F1" w:rsidP="00155653">
            <w:pPr>
              <w:rPr>
                <w:rFonts w:ascii="Calibri" w:hAnsi="Calibri" w:cs="Calibri"/>
                <w:b/>
                <w:bCs/>
                <w:color w:val="000000"/>
                <w:sz w:val="22"/>
                <w:szCs w:val="22"/>
              </w:rPr>
            </w:pPr>
            <w:r w:rsidRPr="00567BA9">
              <w:rPr>
                <w:rFonts w:ascii="Calibri" w:hAnsi="Calibri" w:cs="Calibri"/>
                <w:b/>
                <w:bCs/>
                <w:color w:val="000000"/>
                <w:sz w:val="22"/>
                <w:szCs w:val="22"/>
              </w:rPr>
              <w:t>Width</w:t>
            </w:r>
          </w:p>
        </w:tc>
        <w:tc>
          <w:tcPr>
            <w:tcW w:w="936" w:type="dxa"/>
            <w:tcBorders>
              <w:top w:val="nil"/>
              <w:left w:val="nil"/>
              <w:bottom w:val="single" w:sz="4" w:space="0" w:color="auto"/>
              <w:right w:val="single" w:sz="4" w:space="0" w:color="auto"/>
            </w:tcBorders>
            <w:shd w:val="clear" w:color="auto" w:fill="auto"/>
            <w:noWrap/>
            <w:vAlign w:val="bottom"/>
            <w:hideMark/>
          </w:tcPr>
          <w:p w14:paraId="6030AE96" w14:textId="77777777" w:rsidR="00C709F1" w:rsidRPr="00567BA9" w:rsidRDefault="00C709F1" w:rsidP="00155653">
            <w:pPr>
              <w:rPr>
                <w:rFonts w:ascii="Calibri" w:hAnsi="Calibri" w:cs="Calibri"/>
                <w:b/>
                <w:bCs/>
                <w:color w:val="000000"/>
                <w:sz w:val="22"/>
                <w:szCs w:val="22"/>
              </w:rPr>
            </w:pPr>
            <w:r w:rsidRPr="00567BA9">
              <w:rPr>
                <w:rFonts w:ascii="Calibri" w:hAnsi="Calibri" w:cs="Calibri"/>
                <w:b/>
                <w:bCs/>
                <w:color w:val="000000"/>
                <w:sz w:val="22"/>
                <w:szCs w:val="22"/>
              </w:rPr>
              <w:t>Depth</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6A6A947" w14:textId="77777777" w:rsidR="00C709F1" w:rsidRPr="00567BA9" w:rsidRDefault="00C709F1" w:rsidP="00155653">
            <w:pPr>
              <w:rPr>
                <w:rFonts w:ascii="Calibri" w:hAnsi="Calibri" w:cs="Calibri"/>
                <w:b/>
                <w:bCs/>
                <w:color w:val="000000"/>
                <w:sz w:val="22"/>
                <w:szCs w:val="22"/>
              </w:rPr>
            </w:pPr>
          </w:p>
        </w:tc>
      </w:tr>
      <w:tr w:rsidR="00C709F1" w:rsidRPr="00567BA9" w14:paraId="1BFB7BF7"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08BBBF76"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Apple iPhone 11 Pro Max</w:t>
            </w:r>
          </w:p>
        </w:tc>
        <w:tc>
          <w:tcPr>
            <w:tcW w:w="726" w:type="dxa"/>
            <w:tcBorders>
              <w:top w:val="nil"/>
              <w:left w:val="nil"/>
              <w:bottom w:val="single" w:sz="4" w:space="0" w:color="auto"/>
              <w:right w:val="single" w:sz="4" w:space="0" w:color="auto"/>
            </w:tcBorders>
            <w:shd w:val="clear" w:color="auto" w:fill="auto"/>
            <w:noWrap/>
            <w:vAlign w:val="bottom"/>
            <w:hideMark/>
          </w:tcPr>
          <w:p w14:paraId="25ACBB0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15.8</w:t>
            </w:r>
          </w:p>
        </w:tc>
        <w:tc>
          <w:tcPr>
            <w:tcW w:w="943" w:type="dxa"/>
            <w:tcBorders>
              <w:top w:val="nil"/>
              <w:left w:val="nil"/>
              <w:bottom w:val="single" w:sz="4" w:space="0" w:color="auto"/>
              <w:right w:val="single" w:sz="4" w:space="0" w:color="auto"/>
            </w:tcBorders>
            <w:shd w:val="clear" w:color="auto" w:fill="auto"/>
            <w:noWrap/>
            <w:vAlign w:val="bottom"/>
            <w:hideMark/>
          </w:tcPr>
          <w:p w14:paraId="6E8EFB7B"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7.8</w:t>
            </w:r>
          </w:p>
        </w:tc>
        <w:tc>
          <w:tcPr>
            <w:tcW w:w="936" w:type="dxa"/>
            <w:tcBorders>
              <w:top w:val="nil"/>
              <w:left w:val="nil"/>
              <w:bottom w:val="single" w:sz="4" w:space="0" w:color="auto"/>
              <w:right w:val="single" w:sz="4" w:space="0" w:color="auto"/>
            </w:tcBorders>
            <w:shd w:val="clear" w:color="auto" w:fill="auto"/>
            <w:noWrap/>
            <w:vAlign w:val="bottom"/>
            <w:hideMark/>
          </w:tcPr>
          <w:p w14:paraId="7E527E60"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3DC725A2"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17.6</w:t>
            </w:r>
          </w:p>
        </w:tc>
      </w:tr>
      <w:tr w:rsidR="00C709F1" w:rsidRPr="00567BA9" w14:paraId="1D3765BE"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19CF6A7B"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Apple iPhone 11 Pro</w:t>
            </w:r>
          </w:p>
        </w:tc>
        <w:tc>
          <w:tcPr>
            <w:tcW w:w="726" w:type="dxa"/>
            <w:tcBorders>
              <w:top w:val="nil"/>
              <w:left w:val="nil"/>
              <w:bottom w:val="single" w:sz="4" w:space="0" w:color="auto"/>
              <w:right w:val="single" w:sz="4" w:space="0" w:color="auto"/>
            </w:tcBorders>
            <w:shd w:val="clear" w:color="auto" w:fill="auto"/>
            <w:noWrap/>
            <w:vAlign w:val="bottom"/>
            <w:hideMark/>
          </w:tcPr>
          <w:p w14:paraId="4534A98E"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14.4</w:t>
            </w:r>
          </w:p>
        </w:tc>
        <w:tc>
          <w:tcPr>
            <w:tcW w:w="943" w:type="dxa"/>
            <w:tcBorders>
              <w:top w:val="nil"/>
              <w:left w:val="nil"/>
              <w:bottom w:val="single" w:sz="4" w:space="0" w:color="auto"/>
              <w:right w:val="single" w:sz="4" w:space="0" w:color="auto"/>
            </w:tcBorders>
            <w:shd w:val="clear" w:color="auto" w:fill="auto"/>
            <w:noWrap/>
            <w:vAlign w:val="bottom"/>
            <w:hideMark/>
          </w:tcPr>
          <w:p w14:paraId="1059814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7.1</w:t>
            </w:r>
          </w:p>
        </w:tc>
        <w:tc>
          <w:tcPr>
            <w:tcW w:w="936" w:type="dxa"/>
            <w:tcBorders>
              <w:top w:val="nil"/>
              <w:left w:val="nil"/>
              <w:bottom w:val="single" w:sz="4" w:space="0" w:color="auto"/>
              <w:right w:val="single" w:sz="4" w:space="0" w:color="auto"/>
            </w:tcBorders>
            <w:shd w:val="clear" w:color="auto" w:fill="auto"/>
            <w:noWrap/>
            <w:vAlign w:val="bottom"/>
            <w:hideMark/>
          </w:tcPr>
          <w:p w14:paraId="54C07E31"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77B606FF"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16.1</w:t>
            </w:r>
          </w:p>
        </w:tc>
      </w:tr>
      <w:tr w:rsidR="00C709F1" w:rsidRPr="00567BA9" w14:paraId="53DB3626"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7146DC4C"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Apple iPhone 11</w:t>
            </w:r>
          </w:p>
        </w:tc>
        <w:tc>
          <w:tcPr>
            <w:tcW w:w="726" w:type="dxa"/>
            <w:tcBorders>
              <w:top w:val="nil"/>
              <w:left w:val="nil"/>
              <w:bottom w:val="single" w:sz="4" w:space="0" w:color="auto"/>
              <w:right w:val="single" w:sz="4" w:space="0" w:color="auto"/>
            </w:tcBorders>
            <w:shd w:val="clear" w:color="auto" w:fill="auto"/>
            <w:noWrap/>
            <w:vAlign w:val="bottom"/>
            <w:hideMark/>
          </w:tcPr>
          <w:p w14:paraId="467E4B3E"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15.1</w:t>
            </w:r>
          </w:p>
        </w:tc>
        <w:tc>
          <w:tcPr>
            <w:tcW w:w="943" w:type="dxa"/>
            <w:tcBorders>
              <w:top w:val="nil"/>
              <w:left w:val="nil"/>
              <w:bottom w:val="single" w:sz="4" w:space="0" w:color="auto"/>
              <w:right w:val="single" w:sz="4" w:space="0" w:color="auto"/>
            </w:tcBorders>
            <w:shd w:val="clear" w:color="auto" w:fill="auto"/>
            <w:noWrap/>
            <w:vAlign w:val="bottom"/>
            <w:hideMark/>
          </w:tcPr>
          <w:p w14:paraId="76195845"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7.6</w:t>
            </w:r>
          </w:p>
        </w:tc>
        <w:tc>
          <w:tcPr>
            <w:tcW w:w="936" w:type="dxa"/>
            <w:tcBorders>
              <w:top w:val="nil"/>
              <w:left w:val="nil"/>
              <w:bottom w:val="single" w:sz="4" w:space="0" w:color="auto"/>
              <w:right w:val="single" w:sz="4" w:space="0" w:color="auto"/>
            </w:tcBorders>
            <w:shd w:val="clear" w:color="auto" w:fill="auto"/>
            <w:noWrap/>
            <w:vAlign w:val="bottom"/>
            <w:hideMark/>
          </w:tcPr>
          <w:p w14:paraId="455C4B99"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00CD023B"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16.9</w:t>
            </w:r>
          </w:p>
        </w:tc>
      </w:tr>
      <w:tr w:rsidR="00C709F1" w:rsidRPr="00567BA9" w14:paraId="3C72CBE6"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1BB929CC"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Samsung Galaxy Note 10</w:t>
            </w:r>
          </w:p>
        </w:tc>
        <w:tc>
          <w:tcPr>
            <w:tcW w:w="726" w:type="dxa"/>
            <w:tcBorders>
              <w:top w:val="nil"/>
              <w:left w:val="nil"/>
              <w:bottom w:val="single" w:sz="4" w:space="0" w:color="auto"/>
              <w:right w:val="single" w:sz="4" w:space="0" w:color="auto"/>
            </w:tcBorders>
            <w:shd w:val="clear" w:color="auto" w:fill="auto"/>
            <w:noWrap/>
            <w:vAlign w:val="bottom"/>
            <w:hideMark/>
          </w:tcPr>
          <w:p w14:paraId="29853BD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15.1</w:t>
            </w:r>
          </w:p>
        </w:tc>
        <w:tc>
          <w:tcPr>
            <w:tcW w:w="943" w:type="dxa"/>
            <w:tcBorders>
              <w:top w:val="nil"/>
              <w:left w:val="nil"/>
              <w:bottom w:val="single" w:sz="4" w:space="0" w:color="auto"/>
              <w:right w:val="single" w:sz="4" w:space="0" w:color="auto"/>
            </w:tcBorders>
            <w:shd w:val="clear" w:color="auto" w:fill="auto"/>
            <w:noWrap/>
            <w:vAlign w:val="bottom"/>
            <w:hideMark/>
          </w:tcPr>
          <w:p w14:paraId="7754B06B"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7.2</w:t>
            </w:r>
          </w:p>
        </w:tc>
        <w:tc>
          <w:tcPr>
            <w:tcW w:w="936" w:type="dxa"/>
            <w:tcBorders>
              <w:top w:val="nil"/>
              <w:left w:val="nil"/>
              <w:bottom w:val="single" w:sz="4" w:space="0" w:color="auto"/>
              <w:right w:val="single" w:sz="4" w:space="0" w:color="auto"/>
            </w:tcBorders>
            <w:shd w:val="clear" w:color="auto" w:fill="auto"/>
            <w:noWrap/>
            <w:vAlign w:val="bottom"/>
            <w:hideMark/>
          </w:tcPr>
          <w:p w14:paraId="0700DD81"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473E4F3E"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16.7</w:t>
            </w:r>
          </w:p>
        </w:tc>
      </w:tr>
      <w:tr w:rsidR="00C709F1" w:rsidRPr="00567BA9" w14:paraId="51EFC8B2"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1B05103F"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Samsung Galaxy Note 10+</w:t>
            </w:r>
          </w:p>
        </w:tc>
        <w:tc>
          <w:tcPr>
            <w:tcW w:w="726" w:type="dxa"/>
            <w:tcBorders>
              <w:top w:val="nil"/>
              <w:left w:val="nil"/>
              <w:bottom w:val="single" w:sz="4" w:space="0" w:color="auto"/>
              <w:right w:val="single" w:sz="4" w:space="0" w:color="auto"/>
            </w:tcBorders>
            <w:shd w:val="clear" w:color="auto" w:fill="auto"/>
            <w:noWrap/>
            <w:vAlign w:val="bottom"/>
            <w:hideMark/>
          </w:tcPr>
          <w:p w14:paraId="2C4D04A0"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16.2</w:t>
            </w:r>
          </w:p>
        </w:tc>
        <w:tc>
          <w:tcPr>
            <w:tcW w:w="943" w:type="dxa"/>
            <w:tcBorders>
              <w:top w:val="nil"/>
              <w:left w:val="nil"/>
              <w:bottom w:val="single" w:sz="4" w:space="0" w:color="auto"/>
              <w:right w:val="single" w:sz="4" w:space="0" w:color="auto"/>
            </w:tcBorders>
            <w:shd w:val="clear" w:color="auto" w:fill="auto"/>
            <w:noWrap/>
            <w:vAlign w:val="bottom"/>
            <w:hideMark/>
          </w:tcPr>
          <w:p w14:paraId="21B72965"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7.7</w:t>
            </w:r>
          </w:p>
        </w:tc>
        <w:tc>
          <w:tcPr>
            <w:tcW w:w="936" w:type="dxa"/>
            <w:tcBorders>
              <w:top w:val="nil"/>
              <w:left w:val="nil"/>
              <w:bottom w:val="single" w:sz="4" w:space="0" w:color="auto"/>
              <w:right w:val="single" w:sz="4" w:space="0" w:color="auto"/>
            </w:tcBorders>
            <w:shd w:val="clear" w:color="auto" w:fill="auto"/>
            <w:noWrap/>
            <w:vAlign w:val="bottom"/>
            <w:hideMark/>
          </w:tcPr>
          <w:p w14:paraId="0ABBD52C"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62EDA56A"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18.0</w:t>
            </w:r>
          </w:p>
        </w:tc>
      </w:tr>
      <w:tr w:rsidR="00C709F1" w:rsidRPr="00567BA9" w14:paraId="55C8287B"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76F331CC"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Samsung Galaxy S10+</w:t>
            </w:r>
          </w:p>
        </w:tc>
        <w:tc>
          <w:tcPr>
            <w:tcW w:w="726" w:type="dxa"/>
            <w:tcBorders>
              <w:top w:val="nil"/>
              <w:left w:val="nil"/>
              <w:bottom w:val="single" w:sz="4" w:space="0" w:color="auto"/>
              <w:right w:val="single" w:sz="4" w:space="0" w:color="auto"/>
            </w:tcBorders>
            <w:shd w:val="clear" w:color="auto" w:fill="auto"/>
            <w:noWrap/>
            <w:vAlign w:val="bottom"/>
            <w:hideMark/>
          </w:tcPr>
          <w:p w14:paraId="6ACA56D8"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15.7</w:t>
            </w:r>
          </w:p>
        </w:tc>
        <w:tc>
          <w:tcPr>
            <w:tcW w:w="943" w:type="dxa"/>
            <w:tcBorders>
              <w:top w:val="nil"/>
              <w:left w:val="nil"/>
              <w:bottom w:val="single" w:sz="4" w:space="0" w:color="auto"/>
              <w:right w:val="single" w:sz="4" w:space="0" w:color="auto"/>
            </w:tcBorders>
            <w:shd w:val="clear" w:color="auto" w:fill="auto"/>
            <w:noWrap/>
            <w:vAlign w:val="bottom"/>
            <w:hideMark/>
          </w:tcPr>
          <w:p w14:paraId="6F72807F"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7.4</w:t>
            </w:r>
          </w:p>
        </w:tc>
        <w:tc>
          <w:tcPr>
            <w:tcW w:w="936" w:type="dxa"/>
            <w:tcBorders>
              <w:top w:val="nil"/>
              <w:left w:val="nil"/>
              <w:bottom w:val="single" w:sz="4" w:space="0" w:color="auto"/>
              <w:right w:val="single" w:sz="4" w:space="0" w:color="auto"/>
            </w:tcBorders>
            <w:shd w:val="clear" w:color="auto" w:fill="auto"/>
            <w:noWrap/>
            <w:vAlign w:val="bottom"/>
            <w:hideMark/>
          </w:tcPr>
          <w:p w14:paraId="16B874DC"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3D67E4FA"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17.4</w:t>
            </w:r>
          </w:p>
        </w:tc>
      </w:tr>
      <w:tr w:rsidR="00C709F1" w:rsidRPr="00567BA9" w14:paraId="671734A0"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7AC5D278"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Samsung Galaxy S10e</w:t>
            </w:r>
          </w:p>
        </w:tc>
        <w:tc>
          <w:tcPr>
            <w:tcW w:w="726" w:type="dxa"/>
            <w:tcBorders>
              <w:top w:val="nil"/>
              <w:left w:val="nil"/>
              <w:bottom w:val="single" w:sz="4" w:space="0" w:color="auto"/>
              <w:right w:val="single" w:sz="4" w:space="0" w:color="auto"/>
            </w:tcBorders>
            <w:shd w:val="clear" w:color="auto" w:fill="auto"/>
            <w:noWrap/>
            <w:vAlign w:val="bottom"/>
            <w:hideMark/>
          </w:tcPr>
          <w:p w14:paraId="122832FE"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14.2</w:t>
            </w:r>
          </w:p>
        </w:tc>
        <w:tc>
          <w:tcPr>
            <w:tcW w:w="943" w:type="dxa"/>
            <w:tcBorders>
              <w:top w:val="nil"/>
              <w:left w:val="nil"/>
              <w:bottom w:val="single" w:sz="4" w:space="0" w:color="auto"/>
              <w:right w:val="single" w:sz="4" w:space="0" w:color="auto"/>
            </w:tcBorders>
            <w:shd w:val="clear" w:color="auto" w:fill="auto"/>
            <w:noWrap/>
            <w:vAlign w:val="bottom"/>
            <w:hideMark/>
          </w:tcPr>
          <w:p w14:paraId="2B38F53E"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7.0</w:t>
            </w:r>
          </w:p>
        </w:tc>
        <w:tc>
          <w:tcPr>
            <w:tcW w:w="936" w:type="dxa"/>
            <w:tcBorders>
              <w:top w:val="nil"/>
              <w:left w:val="nil"/>
              <w:bottom w:val="single" w:sz="4" w:space="0" w:color="auto"/>
              <w:right w:val="single" w:sz="4" w:space="0" w:color="auto"/>
            </w:tcBorders>
            <w:shd w:val="clear" w:color="auto" w:fill="auto"/>
            <w:noWrap/>
            <w:vAlign w:val="bottom"/>
            <w:hideMark/>
          </w:tcPr>
          <w:p w14:paraId="4325237D"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02CF55B2"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15.9</w:t>
            </w:r>
          </w:p>
        </w:tc>
      </w:tr>
      <w:tr w:rsidR="00C709F1" w:rsidRPr="00567BA9" w14:paraId="06E1FC42"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004AC95B"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Samsung Galaxy S10</w:t>
            </w:r>
          </w:p>
        </w:tc>
        <w:tc>
          <w:tcPr>
            <w:tcW w:w="726" w:type="dxa"/>
            <w:tcBorders>
              <w:top w:val="nil"/>
              <w:left w:val="nil"/>
              <w:bottom w:val="single" w:sz="4" w:space="0" w:color="auto"/>
              <w:right w:val="single" w:sz="4" w:space="0" w:color="auto"/>
            </w:tcBorders>
            <w:shd w:val="clear" w:color="auto" w:fill="auto"/>
            <w:noWrap/>
            <w:vAlign w:val="bottom"/>
            <w:hideMark/>
          </w:tcPr>
          <w:p w14:paraId="501B4967"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15.0</w:t>
            </w:r>
          </w:p>
        </w:tc>
        <w:tc>
          <w:tcPr>
            <w:tcW w:w="943" w:type="dxa"/>
            <w:tcBorders>
              <w:top w:val="nil"/>
              <w:left w:val="nil"/>
              <w:bottom w:val="single" w:sz="4" w:space="0" w:color="auto"/>
              <w:right w:val="single" w:sz="4" w:space="0" w:color="auto"/>
            </w:tcBorders>
            <w:shd w:val="clear" w:color="auto" w:fill="auto"/>
            <w:noWrap/>
            <w:vAlign w:val="bottom"/>
            <w:hideMark/>
          </w:tcPr>
          <w:p w14:paraId="41DBC7BD"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7.0</w:t>
            </w:r>
          </w:p>
        </w:tc>
        <w:tc>
          <w:tcPr>
            <w:tcW w:w="936" w:type="dxa"/>
            <w:tcBorders>
              <w:top w:val="nil"/>
              <w:left w:val="nil"/>
              <w:bottom w:val="single" w:sz="4" w:space="0" w:color="auto"/>
              <w:right w:val="single" w:sz="4" w:space="0" w:color="auto"/>
            </w:tcBorders>
            <w:shd w:val="clear" w:color="auto" w:fill="auto"/>
            <w:noWrap/>
            <w:vAlign w:val="bottom"/>
            <w:hideMark/>
          </w:tcPr>
          <w:p w14:paraId="278A854A"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08282361"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16.6</w:t>
            </w:r>
          </w:p>
        </w:tc>
      </w:tr>
      <w:tr w:rsidR="00C709F1" w:rsidRPr="00567BA9" w14:paraId="2F3BF699"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26973669"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Samsung Fold</w:t>
            </w:r>
          </w:p>
        </w:tc>
        <w:tc>
          <w:tcPr>
            <w:tcW w:w="726" w:type="dxa"/>
            <w:tcBorders>
              <w:top w:val="nil"/>
              <w:left w:val="nil"/>
              <w:bottom w:val="single" w:sz="4" w:space="0" w:color="auto"/>
              <w:right w:val="single" w:sz="4" w:space="0" w:color="auto"/>
            </w:tcBorders>
            <w:shd w:val="clear" w:color="auto" w:fill="auto"/>
            <w:noWrap/>
            <w:vAlign w:val="bottom"/>
            <w:hideMark/>
          </w:tcPr>
          <w:p w14:paraId="120F2A19"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16.1</w:t>
            </w:r>
          </w:p>
        </w:tc>
        <w:tc>
          <w:tcPr>
            <w:tcW w:w="943" w:type="dxa"/>
            <w:tcBorders>
              <w:top w:val="nil"/>
              <w:left w:val="nil"/>
              <w:bottom w:val="single" w:sz="4" w:space="0" w:color="auto"/>
              <w:right w:val="single" w:sz="4" w:space="0" w:color="auto"/>
            </w:tcBorders>
            <w:shd w:val="clear" w:color="auto" w:fill="auto"/>
            <w:noWrap/>
            <w:vAlign w:val="bottom"/>
            <w:hideMark/>
          </w:tcPr>
          <w:p w14:paraId="6ACEAD4A"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11.8</w:t>
            </w:r>
          </w:p>
        </w:tc>
        <w:tc>
          <w:tcPr>
            <w:tcW w:w="936" w:type="dxa"/>
            <w:tcBorders>
              <w:top w:val="nil"/>
              <w:left w:val="nil"/>
              <w:bottom w:val="single" w:sz="4" w:space="0" w:color="auto"/>
              <w:right w:val="single" w:sz="4" w:space="0" w:color="auto"/>
            </w:tcBorders>
            <w:shd w:val="clear" w:color="auto" w:fill="auto"/>
            <w:noWrap/>
            <w:vAlign w:val="bottom"/>
            <w:hideMark/>
          </w:tcPr>
          <w:p w14:paraId="15DAD02B"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0.7</w:t>
            </w:r>
          </w:p>
        </w:tc>
        <w:tc>
          <w:tcPr>
            <w:tcW w:w="1560" w:type="dxa"/>
            <w:tcBorders>
              <w:top w:val="nil"/>
              <w:left w:val="nil"/>
              <w:bottom w:val="single" w:sz="4" w:space="0" w:color="auto"/>
              <w:right w:val="single" w:sz="4" w:space="0" w:color="auto"/>
            </w:tcBorders>
            <w:shd w:val="clear" w:color="auto" w:fill="auto"/>
            <w:noWrap/>
            <w:vAlign w:val="bottom"/>
            <w:hideMark/>
          </w:tcPr>
          <w:p w14:paraId="0670C4D6"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19.9</w:t>
            </w:r>
          </w:p>
        </w:tc>
      </w:tr>
      <w:tr w:rsidR="00C709F1" w:rsidRPr="00567BA9" w14:paraId="496D9962"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2A700F8B"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 xml:space="preserve">LG G8 </w:t>
            </w:r>
            <w:proofErr w:type="spellStart"/>
            <w:r w:rsidRPr="00567BA9">
              <w:rPr>
                <w:rFonts w:ascii="Calibri" w:hAnsi="Calibri" w:cs="Calibri"/>
                <w:color w:val="000000"/>
                <w:sz w:val="22"/>
                <w:szCs w:val="22"/>
              </w:rPr>
              <w:t>ThinQ</w:t>
            </w:r>
            <w:proofErr w:type="spellEnd"/>
          </w:p>
        </w:tc>
        <w:tc>
          <w:tcPr>
            <w:tcW w:w="726" w:type="dxa"/>
            <w:tcBorders>
              <w:top w:val="nil"/>
              <w:left w:val="nil"/>
              <w:bottom w:val="single" w:sz="4" w:space="0" w:color="auto"/>
              <w:right w:val="single" w:sz="4" w:space="0" w:color="auto"/>
            </w:tcBorders>
            <w:shd w:val="clear" w:color="auto" w:fill="auto"/>
            <w:noWrap/>
            <w:vAlign w:val="bottom"/>
            <w:hideMark/>
          </w:tcPr>
          <w:p w14:paraId="281117AC"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15.2</w:t>
            </w:r>
          </w:p>
        </w:tc>
        <w:tc>
          <w:tcPr>
            <w:tcW w:w="943" w:type="dxa"/>
            <w:tcBorders>
              <w:top w:val="nil"/>
              <w:left w:val="nil"/>
              <w:bottom w:val="single" w:sz="4" w:space="0" w:color="auto"/>
              <w:right w:val="single" w:sz="4" w:space="0" w:color="auto"/>
            </w:tcBorders>
            <w:shd w:val="clear" w:color="auto" w:fill="auto"/>
            <w:noWrap/>
            <w:vAlign w:val="bottom"/>
            <w:hideMark/>
          </w:tcPr>
          <w:p w14:paraId="32C5E299"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7.2</w:t>
            </w:r>
          </w:p>
        </w:tc>
        <w:tc>
          <w:tcPr>
            <w:tcW w:w="936" w:type="dxa"/>
            <w:tcBorders>
              <w:top w:val="nil"/>
              <w:left w:val="nil"/>
              <w:bottom w:val="single" w:sz="4" w:space="0" w:color="auto"/>
              <w:right w:val="single" w:sz="4" w:space="0" w:color="auto"/>
            </w:tcBorders>
            <w:shd w:val="clear" w:color="auto" w:fill="auto"/>
            <w:noWrap/>
            <w:vAlign w:val="bottom"/>
            <w:hideMark/>
          </w:tcPr>
          <w:p w14:paraId="6C92DB80"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58FBA81F"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16.9</w:t>
            </w:r>
          </w:p>
        </w:tc>
      </w:tr>
      <w:tr w:rsidR="00C709F1" w:rsidRPr="00567BA9" w14:paraId="0D937F7A"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0CA22291"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 xml:space="preserve">LG </w:t>
            </w:r>
            <w:proofErr w:type="spellStart"/>
            <w:r w:rsidRPr="00567BA9">
              <w:rPr>
                <w:rFonts w:ascii="Calibri" w:hAnsi="Calibri" w:cs="Calibri"/>
                <w:color w:val="000000"/>
                <w:sz w:val="22"/>
                <w:szCs w:val="22"/>
              </w:rPr>
              <w:t>Stylo</w:t>
            </w:r>
            <w:proofErr w:type="spellEnd"/>
            <w:r w:rsidRPr="00567BA9">
              <w:rPr>
                <w:rFonts w:ascii="Calibri" w:hAnsi="Calibri" w:cs="Calibri"/>
                <w:color w:val="000000"/>
                <w:sz w:val="22"/>
                <w:szCs w:val="22"/>
              </w:rPr>
              <w:t xml:space="preserve"> 4+</w:t>
            </w:r>
          </w:p>
        </w:tc>
        <w:tc>
          <w:tcPr>
            <w:tcW w:w="726" w:type="dxa"/>
            <w:tcBorders>
              <w:top w:val="nil"/>
              <w:left w:val="nil"/>
              <w:bottom w:val="single" w:sz="4" w:space="0" w:color="auto"/>
              <w:right w:val="single" w:sz="4" w:space="0" w:color="auto"/>
            </w:tcBorders>
            <w:shd w:val="clear" w:color="auto" w:fill="auto"/>
            <w:noWrap/>
            <w:vAlign w:val="bottom"/>
            <w:hideMark/>
          </w:tcPr>
          <w:p w14:paraId="4314BF9C"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16.0</w:t>
            </w:r>
          </w:p>
        </w:tc>
        <w:tc>
          <w:tcPr>
            <w:tcW w:w="943" w:type="dxa"/>
            <w:tcBorders>
              <w:top w:val="nil"/>
              <w:left w:val="nil"/>
              <w:bottom w:val="single" w:sz="4" w:space="0" w:color="auto"/>
              <w:right w:val="single" w:sz="4" w:space="0" w:color="auto"/>
            </w:tcBorders>
            <w:shd w:val="clear" w:color="auto" w:fill="auto"/>
            <w:noWrap/>
            <w:vAlign w:val="bottom"/>
            <w:hideMark/>
          </w:tcPr>
          <w:p w14:paraId="0E07A096"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7.8</w:t>
            </w:r>
          </w:p>
        </w:tc>
        <w:tc>
          <w:tcPr>
            <w:tcW w:w="936" w:type="dxa"/>
            <w:tcBorders>
              <w:top w:val="nil"/>
              <w:left w:val="nil"/>
              <w:bottom w:val="single" w:sz="4" w:space="0" w:color="auto"/>
              <w:right w:val="single" w:sz="4" w:space="0" w:color="auto"/>
            </w:tcBorders>
            <w:shd w:val="clear" w:color="auto" w:fill="auto"/>
            <w:noWrap/>
            <w:vAlign w:val="bottom"/>
            <w:hideMark/>
          </w:tcPr>
          <w:p w14:paraId="55A856F5"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361CE53F"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17.8</w:t>
            </w:r>
          </w:p>
        </w:tc>
      </w:tr>
      <w:tr w:rsidR="00C709F1" w:rsidRPr="00567BA9" w14:paraId="60BD1555"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6E8E19C6"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 xml:space="preserve">Kyocera </w:t>
            </w:r>
            <w:proofErr w:type="spellStart"/>
            <w:r w:rsidRPr="00567BA9">
              <w:rPr>
                <w:rFonts w:ascii="Calibri" w:hAnsi="Calibri" w:cs="Calibri"/>
                <w:color w:val="000000"/>
                <w:sz w:val="22"/>
                <w:szCs w:val="22"/>
              </w:rPr>
              <w:t>DuraForce</w:t>
            </w:r>
            <w:proofErr w:type="spellEnd"/>
            <w:r w:rsidRPr="00567BA9">
              <w:rPr>
                <w:rFonts w:ascii="Calibri" w:hAnsi="Calibri" w:cs="Calibri"/>
                <w:color w:val="000000"/>
                <w:sz w:val="22"/>
                <w:szCs w:val="22"/>
              </w:rPr>
              <w:t xml:space="preserve"> Pro 2</w:t>
            </w:r>
          </w:p>
        </w:tc>
        <w:tc>
          <w:tcPr>
            <w:tcW w:w="726" w:type="dxa"/>
            <w:tcBorders>
              <w:top w:val="nil"/>
              <w:left w:val="nil"/>
              <w:bottom w:val="single" w:sz="4" w:space="0" w:color="auto"/>
              <w:right w:val="single" w:sz="4" w:space="0" w:color="auto"/>
            </w:tcBorders>
            <w:shd w:val="clear" w:color="auto" w:fill="auto"/>
            <w:noWrap/>
            <w:vAlign w:val="bottom"/>
            <w:hideMark/>
          </w:tcPr>
          <w:p w14:paraId="5C7FB27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15.0</w:t>
            </w:r>
          </w:p>
        </w:tc>
        <w:tc>
          <w:tcPr>
            <w:tcW w:w="943" w:type="dxa"/>
            <w:tcBorders>
              <w:top w:val="nil"/>
              <w:left w:val="nil"/>
              <w:bottom w:val="single" w:sz="4" w:space="0" w:color="auto"/>
              <w:right w:val="single" w:sz="4" w:space="0" w:color="auto"/>
            </w:tcBorders>
            <w:shd w:val="clear" w:color="auto" w:fill="auto"/>
            <w:noWrap/>
            <w:vAlign w:val="bottom"/>
            <w:hideMark/>
          </w:tcPr>
          <w:p w14:paraId="29EDA073"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7.3</w:t>
            </w:r>
          </w:p>
        </w:tc>
        <w:tc>
          <w:tcPr>
            <w:tcW w:w="936" w:type="dxa"/>
            <w:tcBorders>
              <w:top w:val="nil"/>
              <w:left w:val="nil"/>
              <w:bottom w:val="single" w:sz="4" w:space="0" w:color="auto"/>
              <w:right w:val="single" w:sz="4" w:space="0" w:color="auto"/>
            </w:tcBorders>
            <w:shd w:val="clear" w:color="auto" w:fill="auto"/>
            <w:noWrap/>
            <w:vAlign w:val="bottom"/>
            <w:hideMark/>
          </w:tcPr>
          <w:p w14:paraId="1C3117DF"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1.4</w:t>
            </w:r>
          </w:p>
        </w:tc>
        <w:tc>
          <w:tcPr>
            <w:tcW w:w="1560" w:type="dxa"/>
            <w:tcBorders>
              <w:top w:val="nil"/>
              <w:left w:val="nil"/>
              <w:bottom w:val="single" w:sz="4" w:space="0" w:color="auto"/>
              <w:right w:val="single" w:sz="4" w:space="0" w:color="auto"/>
            </w:tcBorders>
            <w:shd w:val="clear" w:color="auto" w:fill="auto"/>
            <w:noWrap/>
            <w:vAlign w:val="bottom"/>
            <w:hideMark/>
          </w:tcPr>
          <w:p w14:paraId="226D936A"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16.8</w:t>
            </w:r>
          </w:p>
        </w:tc>
      </w:tr>
      <w:tr w:rsidR="00C709F1" w:rsidRPr="00567BA9" w14:paraId="1A5ED8F2"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50E85730"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Razer Phone 2</w:t>
            </w:r>
          </w:p>
        </w:tc>
        <w:tc>
          <w:tcPr>
            <w:tcW w:w="726" w:type="dxa"/>
            <w:tcBorders>
              <w:top w:val="nil"/>
              <w:left w:val="nil"/>
              <w:bottom w:val="single" w:sz="4" w:space="0" w:color="auto"/>
              <w:right w:val="single" w:sz="4" w:space="0" w:color="auto"/>
            </w:tcBorders>
            <w:shd w:val="clear" w:color="auto" w:fill="auto"/>
            <w:noWrap/>
            <w:vAlign w:val="bottom"/>
            <w:hideMark/>
          </w:tcPr>
          <w:p w14:paraId="7C65A93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15.8</w:t>
            </w:r>
          </w:p>
        </w:tc>
        <w:tc>
          <w:tcPr>
            <w:tcW w:w="943" w:type="dxa"/>
            <w:tcBorders>
              <w:top w:val="nil"/>
              <w:left w:val="nil"/>
              <w:bottom w:val="single" w:sz="4" w:space="0" w:color="auto"/>
              <w:right w:val="single" w:sz="4" w:space="0" w:color="auto"/>
            </w:tcBorders>
            <w:shd w:val="clear" w:color="auto" w:fill="auto"/>
            <w:noWrap/>
            <w:vAlign w:val="bottom"/>
            <w:hideMark/>
          </w:tcPr>
          <w:p w14:paraId="6318DE6B"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7.9</w:t>
            </w:r>
          </w:p>
        </w:tc>
        <w:tc>
          <w:tcPr>
            <w:tcW w:w="936" w:type="dxa"/>
            <w:tcBorders>
              <w:top w:val="nil"/>
              <w:left w:val="nil"/>
              <w:bottom w:val="single" w:sz="4" w:space="0" w:color="auto"/>
              <w:right w:val="single" w:sz="4" w:space="0" w:color="auto"/>
            </w:tcBorders>
            <w:shd w:val="clear" w:color="auto" w:fill="auto"/>
            <w:noWrap/>
            <w:vAlign w:val="bottom"/>
            <w:hideMark/>
          </w:tcPr>
          <w:p w14:paraId="4C19A76E"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0F390AC5"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17.7</w:t>
            </w:r>
          </w:p>
        </w:tc>
      </w:tr>
      <w:tr w:rsidR="00C709F1" w:rsidRPr="00567BA9" w14:paraId="6B8157FE"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43B58A4A"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 xml:space="preserve">LG V40 </w:t>
            </w:r>
            <w:proofErr w:type="spellStart"/>
            <w:r w:rsidRPr="00567BA9">
              <w:rPr>
                <w:rFonts w:ascii="Calibri" w:hAnsi="Calibri" w:cs="Calibri"/>
                <w:color w:val="000000"/>
                <w:sz w:val="22"/>
                <w:szCs w:val="22"/>
              </w:rPr>
              <w:t>ThinQ</w:t>
            </w:r>
            <w:proofErr w:type="spellEnd"/>
          </w:p>
        </w:tc>
        <w:tc>
          <w:tcPr>
            <w:tcW w:w="726" w:type="dxa"/>
            <w:tcBorders>
              <w:top w:val="nil"/>
              <w:left w:val="nil"/>
              <w:bottom w:val="single" w:sz="4" w:space="0" w:color="auto"/>
              <w:right w:val="single" w:sz="4" w:space="0" w:color="auto"/>
            </w:tcBorders>
            <w:shd w:val="clear" w:color="auto" w:fill="auto"/>
            <w:noWrap/>
            <w:vAlign w:val="bottom"/>
            <w:hideMark/>
          </w:tcPr>
          <w:p w14:paraId="26871293"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15.9</w:t>
            </w:r>
          </w:p>
        </w:tc>
        <w:tc>
          <w:tcPr>
            <w:tcW w:w="943" w:type="dxa"/>
            <w:tcBorders>
              <w:top w:val="nil"/>
              <w:left w:val="nil"/>
              <w:bottom w:val="single" w:sz="4" w:space="0" w:color="auto"/>
              <w:right w:val="single" w:sz="4" w:space="0" w:color="auto"/>
            </w:tcBorders>
            <w:shd w:val="clear" w:color="auto" w:fill="auto"/>
            <w:noWrap/>
            <w:vAlign w:val="bottom"/>
            <w:hideMark/>
          </w:tcPr>
          <w:p w14:paraId="26E05524"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7.6</w:t>
            </w:r>
          </w:p>
        </w:tc>
        <w:tc>
          <w:tcPr>
            <w:tcW w:w="936" w:type="dxa"/>
            <w:tcBorders>
              <w:top w:val="nil"/>
              <w:left w:val="nil"/>
              <w:bottom w:val="single" w:sz="4" w:space="0" w:color="auto"/>
              <w:right w:val="single" w:sz="4" w:space="0" w:color="auto"/>
            </w:tcBorders>
            <w:shd w:val="clear" w:color="auto" w:fill="auto"/>
            <w:noWrap/>
            <w:vAlign w:val="bottom"/>
            <w:hideMark/>
          </w:tcPr>
          <w:p w14:paraId="072F015A"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315380CF"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17.6</w:t>
            </w:r>
          </w:p>
        </w:tc>
      </w:tr>
      <w:tr w:rsidR="00C709F1" w:rsidRPr="00567BA9" w14:paraId="6F40E1B3"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5C19A076"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Motorola moto z4</w:t>
            </w:r>
          </w:p>
        </w:tc>
        <w:tc>
          <w:tcPr>
            <w:tcW w:w="726" w:type="dxa"/>
            <w:tcBorders>
              <w:top w:val="nil"/>
              <w:left w:val="nil"/>
              <w:bottom w:val="single" w:sz="4" w:space="0" w:color="auto"/>
              <w:right w:val="single" w:sz="4" w:space="0" w:color="auto"/>
            </w:tcBorders>
            <w:shd w:val="clear" w:color="auto" w:fill="auto"/>
            <w:noWrap/>
            <w:vAlign w:val="bottom"/>
            <w:hideMark/>
          </w:tcPr>
          <w:p w14:paraId="5E2DAC00"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15.8</w:t>
            </w:r>
          </w:p>
        </w:tc>
        <w:tc>
          <w:tcPr>
            <w:tcW w:w="943" w:type="dxa"/>
            <w:tcBorders>
              <w:top w:val="nil"/>
              <w:left w:val="nil"/>
              <w:bottom w:val="single" w:sz="4" w:space="0" w:color="auto"/>
              <w:right w:val="single" w:sz="4" w:space="0" w:color="auto"/>
            </w:tcBorders>
            <w:shd w:val="clear" w:color="auto" w:fill="auto"/>
            <w:noWrap/>
            <w:vAlign w:val="bottom"/>
            <w:hideMark/>
          </w:tcPr>
          <w:p w14:paraId="192C73BD"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7.5</w:t>
            </w:r>
          </w:p>
        </w:tc>
        <w:tc>
          <w:tcPr>
            <w:tcW w:w="936" w:type="dxa"/>
            <w:tcBorders>
              <w:top w:val="nil"/>
              <w:left w:val="nil"/>
              <w:bottom w:val="single" w:sz="4" w:space="0" w:color="auto"/>
              <w:right w:val="single" w:sz="4" w:space="0" w:color="auto"/>
            </w:tcBorders>
            <w:shd w:val="clear" w:color="auto" w:fill="auto"/>
            <w:noWrap/>
            <w:vAlign w:val="bottom"/>
            <w:hideMark/>
          </w:tcPr>
          <w:p w14:paraId="5960D72D"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0.7</w:t>
            </w:r>
          </w:p>
        </w:tc>
        <w:tc>
          <w:tcPr>
            <w:tcW w:w="1560" w:type="dxa"/>
            <w:tcBorders>
              <w:top w:val="nil"/>
              <w:left w:val="nil"/>
              <w:bottom w:val="single" w:sz="4" w:space="0" w:color="auto"/>
              <w:right w:val="single" w:sz="4" w:space="0" w:color="auto"/>
            </w:tcBorders>
            <w:shd w:val="clear" w:color="auto" w:fill="auto"/>
            <w:noWrap/>
            <w:vAlign w:val="bottom"/>
            <w:hideMark/>
          </w:tcPr>
          <w:p w14:paraId="732BB80E"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17.5</w:t>
            </w:r>
          </w:p>
        </w:tc>
      </w:tr>
      <w:tr w:rsidR="00C709F1" w:rsidRPr="00567BA9" w14:paraId="708B7ED5"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271F9088"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lastRenderedPageBreak/>
              <w:t>Google Pixel 3</w:t>
            </w:r>
          </w:p>
        </w:tc>
        <w:tc>
          <w:tcPr>
            <w:tcW w:w="726" w:type="dxa"/>
            <w:tcBorders>
              <w:top w:val="nil"/>
              <w:left w:val="nil"/>
              <w:bottom w:val="single" w:sz="4" w:space="0" w:color="auto"/>
              <w:right w:val="single" w:sz="4" w:space="0" w:color="auto"/>
            </w:tcBorders>
            <w:shd w:val="clear" w:color="auto" w:fill="auto"/>
            <w:noWrap/>
            <w:vAlign w:val="bottom"/>
            <w:hideMark/>
          </w:tcPr>
          <w:p w14:paraId="00F878AB"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14.6</w:t>
            </w:r>
          </w:p>
        </w:tc>
        <w:tc>
          <w:tcPr>
            <w:tcW w:w="943" w:type="dxa"/>
            <w:tcBorders>
              <w:top w:val="nil"/>
              <w:left w:val="nil"/>
              <w:bottom w:val="single" w:sz="4" w:space="0" w:color="auto"/>
              <w:right w:val="single" w:sz="4" w:space="0" w:color="auto"/>
            </w:tcBorders>
            <w:shd w:val="clear" w:color="auto" w:fill="auto"/>
            <w:noWrap/>
            <w:vAlign w:val="bottom"/>
            <w:hideMark/>
          </w:tcPr>
          <w:p w14:paraId="5739E1A1"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6.8</w:t>
            </w:r>
          </w:p>
        </w:tc>
        <w:tc>
          <w:tcPr>
            <w:tcW w:w="936" w:type="dxa"/>
            <w:tcBorders>
              <w:top w:val="nil"/>
              <w:left w:val="nil"/>
              <w:bottom w:val="single" w:sz="4" w:space="0" w:color="auto"/>
              <w:right w:val="single" w:sz="4" w:space="0" w:color="auto"/>
            </w:tcBorders>
            <w:shd w:val="clear" w:color="auto" w:fill="auto"/>
            <w:noWrap/>
            <w:vAlign w:val="bottom"/>
            <w:hideMark/>
          </w:tcPr>
          <w:p w14:paraId="6291CF74"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0ED08503"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16.1</w:t>
            </w:r>
          </w:p>
        </w:tc>
      </w:tr>
      <w:tr w:rsidR="00C709F1" w:rsidRPr="00567BA9" w14:paraId="2AF6FF8A"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328D9ACE"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Google Pixel 3 XL</w:t>
            </w:r>
          </w:p>
        </w:tc>
        <w:tc>
          <w:tcPr>
            <w:tcW w:w="726" w:type="dxa"/>
            <w:tcBorders>
              <w:top w:val="nil"/>
              <w:left w:val="nil"/>
              <w:bottom w:val="single" w:sz="4" w:space="0" w:color="auto"/>
              <w:right w:val="single" w:sz="4" w:space="0" w:color="auto"/>
            </w:tcBorders>
            <w:shd w:val="clear" w:color="auto" w:fill="auto"/>
            <w:noWrap/>
            <w:vAlign w:val="bottom"/>
            <w:hideMark/>
          </w:tcPr>
          <w:p w14:paraId="7D789A30"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15.8</w:t>
            </w:r>
          </w:p>
        </w:tc>
        <w:tc>
          <w:tcPr>
            <w:tcW w:w="943" w:type="dxa"/>
            <w:tcBorders>
              <w:top w:val="nil"/>
              <w:left w:val="nil"/>
              <w:bottom w:val="single" w:sz="4" w:space="0" w:color="auto"/>
              <w:right w:val="single" w:sz="4" w:space="0" w:color="auto"/>
            </w:tcBorders>
            <w:shd w:val="clear" w:color="auto" w:fill="auto"/>
            <w:noWrap/>
            <w:vAlign w:val="bottom"/>
            <w:hideMark/>
          </w:tcPr>
          <w:p w14:paraId="16C01CF9"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7.7</w:t>
            </w:r>
          </w:p>
        </w:tc>
        <w:tc>
          <w:tcPr>
            <w:tcW w:w="936" w:type="dxa"/>
            <w:tcBorders>
              <w:top w:val="nil"/>
              <w:left w:val="nil"/>
              <w:bottom w:val="single" w:sz="4" w:space="0" w:color="auto"/>
              <w:right w:val="single" w:sz="4" w:space="0" w:color="auto"/>
            </w:tcBorders>
            <w:shd w:val="clear" w:color="auto" w:fill="auto"/>
            <w:noWrap/>
            <w:vAlign w:val="bottom"/>
            <w:hideMark/>
          </w:tcPr>
          <w:p w14:paraId="632447E8"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01E78C1E"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17.6</w:t>
            </w:r>
          </w:p>
        </w:tc>
      </w:tr>
      <w:tr w:rsidR="00C709F1" w:rsidRPr="00567BA9" w14:paraId="52571752"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60B62427"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Samsung Galaxy A50</w:t>
            </w:r>
          </w:p>
        </w:tc>
        <w:tc>
          <w:tcPr>
            <w:tcW w:w="726" w:type="dxa"/>
            <w:tcBorders>
              <w:top w:val="nil"/>
              <w:left w:val="nil"/>
              <w:bottom w:val="single" w:sz="4" w:space="0" w:color="auto"/>
              <w:right w:val="single" w:sz="4" w:space="0" w:color="auto"/>
            </w:tcBorders>
            <w:shd w:val="clear" w:color="auto" w:fill="auto"/>
            <w:noWrap/>
            <w:vAlign w:val="bottom"/>
            <w:hideMark/>
          </w:tcPr>
          <w:p w14:paraId="4695E6E7"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15.7</w:t>
            </w:r>
          </w:p>
        </w:tc>
        <w:tc>
          <w:tcPr>
            <w:tcW w:w="943" w:type="dxa"/>
            <w:tcBorders>
              <w:top w:val="nil"/>
              <w:left w:val="nil"/>
              <w:bottom w:val="single" w:sz="4" w:space="0" w:color="auto"/>
              <w:right w:val="single" w:sz="4" w:space="0" w:color="auto"/>
            </w:tcBorders>
            <w:shd w:val="clear" w:color="auto" w:fill="auto"/>
            <w:noWrap/>
            <w:vAlign w:val="bottom"/>
            <w:hideMark/>
          </w:tcPr>
          <w:p w14:paraId="7FC7F39F"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7.4</w:t>
            </w:r>
          </w:p>
        </w:tc>
        <w:tc>
          <w:tcPr>
            <w:tcW w:w="936" w:type="dxa"/>
            <w:tcBorders>
              <w:top w:val="nil"/>
              <w:left w:val="nil"/>
              <w:bottom w:val="single" w:sz="4" w:space="0" w:color="auto"/>
              <w:right w:val="single" w:sz="4" w:space="0" w:color="auto"/>
            </w:tcBorders>
            <w:shd w:val="clear" w:color="auto" w:fill="auto"/>
            <w:noWrap/>
            <w:vAlign w:val="bottom"/>
            <w:hideMark/>
          </w:tcPr>
          <w:p w14:paraId="34DA147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0.8</w:t>
            </w:r>
          </w:p>
        </w:tc>
        <w:tc>
          <w:tcPr>
            <w:tcW w:w="1560" w:type="dxa"/>
            <w:tcBorders>
              <w:top w:val="nil"/>
              <w:left w:val="nil"/>
              <w:bottom w:val="single" w:sz="4" w:space="0" w:color="auto"/>
              <w:right w:val="single" w:sz="4" w:space="0" w:color="auto"/>
            </w:tcBorders>
            <w:shd w:val="clear" w:color="auto" w:fill="auto"/>
            <w:noWrap/>
            <w:vAlign w:val="bottom"/>
            <w:hideMark/>
          </w:tcPr>
          <w:p w14:paraId="2D4F32A8"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17.4</w:t>
            </w:r>
          </w:p>
        </w:tc>
      </w:tr>
      <w:tr w:rsidR="00C709F1" w:rsidRPr="00567BA9" w14:paraId="3343095B"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722678C8"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 xml:space="preserve">LG </w:t>
            </w:r>
            <w:proofErr w:type="spellStart"/>
            <w:r w:rsidRPr="00567BA9">
              <w:rPr>
                <w:rFonts w:ascii="Calibri" w:hAnsi="Calibri" w:cs="Calibri"/>
                <w:color w:val="000000"/>
                <w:sz w:val="22"/>
                <w:szCs w:val="22"/>
              </w:rPr>
              <w:t>Stylo</w:t>
            </w:r>
            <w:proofErr w:type="spellEnd"/>
            <w:r w:rsidRPr="00567BA9">
              <w:rPr>
                <w:rFonts w:ascii="Calibri" w:hAnsi="Calibri" w:cs="Calibri"/>
                <w:color w:val="000000"/>
                <w:sz w:val="22"/>
                <w:szCs w:val="22"/>
              </w:rPr>
              <w:t xml:space="preserve"> 5</w:t>
            </w:r>
          </w:p>
        </w:tc>
        <w:tc>
          <w:tcPr>
            <w:tcW w:w="726" w:type="dxa"/>
            <w:tcBorders>
              <w:top w:val="nil"/>
              <w:left w:val="nil"/>
              <w:bottom w:val="single" w:sz="4" w:space="0" w:color="auto"/>
              <w:right w:val="single" w:sz="4" w:space="0" w:color="auto"/>
            </w:tcBorders>
            <w:shd w:val="clear" w:color="auto" w:fill="auto"/>
            <w:noWrap/>
            <w:vAlign w:val="bottom"/>
            <w:hideMark/>
          </w:tcPr>
          <w:p w14:paraId="48F4823F"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16.1</w:t>
            </w:r>
          </w:p>
        </w:tc>
        <w:tc>
          <w:tcPr>
            <w:tcW w:w="943" w:type="dxa"/>
            <w:tcBorders>
              <w:top w:val="nil"/>
              <w:left w:val="nil"/>
              <w:bottom w:val="single" w:sz="4" w:space="0" w:color="auto"/>
              <w:right w:val="single" w:sz="4" w:space="0" w:color="auto"/>
            </w:tcBorders>
            <w:shd w:val="clear" w:color="auto" w:fill="auto"/>
            <w:noWrap/>
            <w:vAlign w:val="bottom"/>
            <w:hideMark/>
          </w:tcPr>
          <w:p w14:paraId="673592CF"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7.8</w:t>
            </w:r>
          </w:p>
        </w:tc>
        <w:tc>
          <w:tcPr>
            <w:tcW w:w="936" w:type="dxa"/>
            <w:tcBorders>
              <w:top w:val="nil"/>
              <w:left w:val="nil"/>
              <w:bottom w:val="single" w:sz="4" w:space="0" w:color="auto"/>
              <w:right w:val="single" w:sz="4" w:space="0" w:color="auto"/>
            </w:tcBorders>
            <w:shd w:val="clear" w:color="auto" w:fill="auto"/>
            <w:noWrap/>
            <w:vAlign w:val="bottom"/>
            <w:hideMark/>
          </w:tcPr>
          <w:p w14:paraId="0D4E0CEF"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bottom"/>
            <w:hideMark/>
          </w:tcPr>
          <w:p w14:paraId="0652D85D"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17.9</w:t>
            </w:r>
          </w:p>
        </w:tc>
      </w:tr>
      <w:tr w:rsidR="00C709F1" w:rsidRPr="00567BA9" w14:paraId="58F6BCDF"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2DCAA9EC"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OnePlus 7 Pro 5G</w:t>
            </w:r>
          </w:p>
        </w:tc>
        <w:tc>
          <w:tcPr>
            <w:tcW w:w="726" w:type="dxa"/>
            <w:tcBorders>
              <w:top w:val="nil"/>
              <w:left w:val="nil"/>
              <w:bottom w:val="single" w:sz="4" w:space="0" w:color="auto"/>
              <w:right w:val="single" w:sz="4" w:space="0" w:color="auto"/>
            </w:tcBorders>
            <w:shd w:val="clear" w:color="auto" w:fill="auto"/>
            <w:noWrap/>
            <w:vAlign w:val="bottom"/>
            <w:hideMark/>
          </w:tcPr>
          <w:p w14:paraId="52E58F9C"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16.3</w:t>
            </w:r>
          </w:p>
        </w:tc>
        <w:tc>
          <w:tcPr>
            <w:tcW w:w="943" w:type="dxa"/>
            <w:tcBorders>
              <w:top w:val="nil"/>
              <w:left w:val="nil"/>
              <w:bottom w:val="single" w:sz="4" w:space="0" w:color="auto"/>
              <w:right w:val="single" w:sz="4" w:space="0" w:color="auto"/>
            </w:tcBorders>
            <w:shd w:val="clear" w:color="auto" w:fill="auto"/>
            <w:noWrap/>
            <w:vAlign w:val="bottom"/>
            <w:hideMark/>
          </w:tcPr>
          <w:p w14:paraId="4BC33B7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7.6</w:t>
            </w:r>
          </w:p>
        </w:tc>
        <w:tc>
          <w:tcPr>
            <w:tcW w:w="936" w:type="dxa"/>
            <w:tcBorders>
              <w:top w:val="nil"/>
              <w:left w:val="nil"/>
              <w:bottom w:val="single" w:sz="4" w:space="0" w:color="auto"/>
              <w:right w:val="single" w:sz="4" w:space="0" w:color="auto"/>
            </w:tcBorders>
            <w:shd w:val="clear" w:color="auto" w:fill="auto"/>
            <w:noWrap/>
            <w:vAlign w:val="bottom"/>
            <w:hideMark/>
          </w:tcPr>
          <w:p w14:paraId="1BCC7436"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bottom"/>
            <w:hideMark/>
          </w:tcPr>
          <w:p w14:paraId="0D92EF65"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18.0</w:t>
            </w:r>
          </w:p>
        </w:tc>
      </w:tr>
      <w:tr w:rsidR="00C709F1" w:rsidRPr="00567BA9" w14:paraId="5F04E611" w14:textId="77777777" w:rsidTr="00155653">
        <w:trPr>
          <w:trHeight w:val="290"/>
          <w:jc w:val="center"/>
        </w:trPr>
        <w:tc>
          <w:tcPr>
            <w:tcW w:w="2695" w:type="dxa"/>
            <w:tcBorders>
              <w:top w:val="nil"/>
              <w:left w:val="single" w:sz="4" w:space="0" w:color="auto"/>
              <w:bottom w:val="single" w:sz="4" w:space="0" w:color="auto"/>
              <w:right w:val="single" w:sz="4" w:space="0" w:color="auto"/>
            </w:tcBorders>
            <w:shd w:val="clear" w:color="auto" w:fill="auto"/>
            <w:noWrap/>
            <w:vAlign w:val="bottom"/>
            <w:hideMark/>
          </w:tcPr>
          <w:p w14:paraId="0CB8A649" w14:textId="77777777" w:rsidR="00C709F1" w:rsidRPr="00567BA9" w:rsidRDefault="00C709F1" w:rsidP="00155653">
            <w:pPr>
              <w:rPr>
                <w:rFonts w:ascii="Calibri" w:hAnsi="Calibri" w:cs="Calibri"/>
                <w:color w:val="000000"/>
                <w:sz w:val="22"/>
                <w:szCs w:val="22"/>
              </w:rPr>
            </w:pPr>
            <w:r w:rsidRPr="00567BA9">
              <w:rPr>
                <w:rFonts w:ascii="Calibri" w:hAnsi="Calibri" w:cs="Calibri"/>
                <w:color w:val="000000"/>
                <w:sz w:val="22"/>
                <w:szCs w:val="22"/>
              </w:rPr>
              <w:t>moto e 6th gen</w:t>
            </w:r>
          </w:p>
        </w:tc>
        <w:tc>
          <w:tcPr>
            <w:tcW w:w="726" w:type="dxa"/>
            <w:tcBorders>
              <w:top w:val="nil"/>
              <w:left w:val="nil"/>
              <w:bottom w:val="single" w:sz="4" w:space="0" w:color="auto"/>
              <w:right w:val="single" w:sz="4" w:space="0" w:color="auto"/>
            </w:tcBorders>
            <w:shd w:val="clear" w:color="auto" w:fill="auto"/>
            <w:noWrap/>
            <w:vAlign w:val="bottom"/>
            <w:hideMark/>
          </w:tcPr>
          <w:p w14:paraId="22CFE7E2"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15.0</w:t>
            </w:r>
          </w:p>
        </w:tc>
        <w:tc>
          <w:tcPr>
            <w:tcW w:w="943" w:type="dxa"/>
            <w:tcBorders>
              <w:top w:val="nil"/>
              <w:left w:val="nil"/>
              <w:bottom w:val="single" w:sz="4" w:space="0" w:color="auto"/>
              <w:right w:val="single" w:sz="4" w:space="0" w:color="auto"/>
            </w:tcBorders>
            <w:shd w:val="clear" w:color="auto" w:fill="auto"/>
            <w:noWrap/>
            <w:vAlign w:val="bottom"/>
            <w:hideMark/>
          </w:tcPr>
          <w:p w14:paraId="1CFF86C5"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7.2</w:t>
            </w:r>
          </w:p>
        </w:tc>
        <w:tc>
          <w:tcPr>
            <w:tcW w:w="936" w:type="dxa"/>
            <w:tcBorders>
              <w:top w:val="nil"/>
              <w:left w:val="nil"/>
              <w:bottom w:val="single" w:sz="4" w:space="0" w:color="auto"/>
              <w:right w:val="single" w:sz="4" w:space="0" w:color="auto"/>
            </w:tcBorders>
            <w:shd w:val="clear" w:color="auto" w:fill="auto"/>
            <w:noWrap/>
            <w:vAlign w:val="bottom"/>
            <w:hideMark/>
          </w:tcPr>
          <w:p w14:paraId="11E1F9DA" w14:textId="77777777" w:rsidR="00C709F1" w:rsidRPr="00567BA9" w:rsidRDefault="00C709F1" w:rsidP="00155653">
            <w:pPr>
              <w:jc w:val="center"/>
              <w:rPr>
                <w:rFonts w:ascii="Calibri" w:hAnsi="Calibri" w:cs="Calibri"/>
                <w:color w:val="000000"/>
                <w:sz w:val="22"/>
                <w:szCs w:val="22"/>
              </w:rPr>
            </w:pPr>
            <w:r w:rsidRPr="00567BA9">
              <w:rPr>
                <w:rFonts w:ascii="Calibri" w:hAnsi="Calibri" w:cs="Calibri"/>
                <w:color w:val="000000"/>
                <w:sz w:val="22"/>
                <w:szCs w:val="22"/>
              </w:rPr>
              <w:t>0.9</w:t>
            </w:r>
          </w:p>
        </w:tc>
        <w:tc>
          <w:tcPr>
            <w:tcW w:w="1560" w:type="dxa"/>
            <w:tcBorders>
              <w:top w:val="nil"/>
              <w:left w:val="nil"/>
              <w:bottom w:val="single" w:sz="4" w:space="0" w:color="auto"/>
              <w:right w:val="single" w:sz="4" w:space="0" w:color="auto"/>
            </w:tcBorders>
            <w:shd w:val="clear" w:color="auto" w:fill="auto"/>
            <w:noWrap/>
            <w:vAlign w:val="bottom"/>
            <w:hideMark/>
          </w:tcPr>
          <w:p w14:paraId="253AE236" w14:textId="77777777" w:rsidR="00C709F1" w:rsidRPr="00567BA9" w:rsidRDefault="00C709F1" w:rsidP="00155653">
            <w:pPr>
              <w:jc w:val="center"/>
              <w:rPr>
                <w:rFonts w:ascii="Calibri" w:hAnsi="Calibri" w:cs="Calibri"/>
                <w:b/>
                <w:bCs/>
                <w:color w:val="000000"/>
                <w:sz w:val="22"/>
                <w:szCs w:val="22"/>
              </w:rPr>
            </w:pPr>
            <w:r w:rsidRPr="00567BA9">
              <w:rPr>
                <w:rFonts w:ascii="Calibri" w:hAnsi="Calibri" w:cs="Calibri"/>
                <w:b/>
                <w:bCs/>
                <w:color w:val="000000"/>
                <w:sz w:val="22"/>
                <w:szCs w:val="22"/>
              </w:rPr>
              <w:t>16.6</w:t>
            </w:r>
          </w:p>
        </w:tc>
      </w:tr>
    </w:tbl>
    <w:p w14:paraId="59FAF9B5" w14:textId="77777777" w:rsidR="00C709F1" w:rsidRDefault="00C709F1" w:rsidP="00C709F1"/>
    <w:p w14:paraId="0C4A854D" w14:textId="77777777" w:rsidR="00C709F1" w:rsidRDefault="00C709F1" w:rsidP="00C709F1">
      <w:r>
        <w:t xml:space="preserve">Clearly, none of the devices fit inside a 15cm quiet zone. </w:t>
      </w:r>
    </w:p>
    <w:p w14:paraId="21E887B5" w14:textId="33576A52" w:rsidR="00C709F1" w:rsidRDefault="00C709F1" w:rsidP="00C709F1">
      <w:pPr>
        <w:pStyle w:val="Caption"/>
      </w:pPr>
      <w:bookmarkStart w:id="7" w:name="_Ref23777871"/>
      <w:r>
        <w:t xml:space="preserve">Observation </w:t>
      </w:r>
      <w:r>
        <w:rPr>
          <w:noProof/>
        </w:rPr>
        <w:fldChar w:fldCharType="begin"/>
      </w:r>
      <w:r>
        <w:rPr>
          <w:noProof/>
        </w:rPr>
        <w:instrText xml:space="preserve"> SEQ Observation \* ARABIC </w:instrText>
      </w:r>
      <w:r>
        <w:rPr>
          <w:noProof/>
        </w:rPr>
        <w:fldChar w:fldCharType="separate"/>
      </w:r>
      <w:r w:rsidR="006A3A3D">
        <w:rPr>
          <w:noProof/>
        </w:rPr>
        <w:t>1</w:t>
      </w:r>
      <w:r>
        <w:rPr>
          <w:noProof/>
        </w:rPr>
        <w:fldChar w:fldCharType="end"/>
      </w:r>
      <w:r>
        <w:t>: The 15cm quiet zone is insufficient for common LTE smartphones.</w:t>
      </w:r>
      <w:bookmarkEnd w:id="7"/>
      <w:r>
        <w:t xml:space="preserve"> </w:t>
      </w:r>
    </w:p>
    <w:p w14:paraId="70AAEF16" w14:textId="7672A220" w:rsidR="00C709F1" w:rsidRDefault="000354E0" w:rsidP="00C709F1">
      <w:r>
        <w:t xml:space="preserve">The RAN5 </w:t>
      </w:r>
      <w:r w:rsidR="00DB7F5D">
        <w:t>technical</w:t>
      </w:r>
      <w:r>
        <w:t xml:space="preserve"> specification</w:t>
      </w:r>
      <w:r w:rsidR="00C709F1">
        <w:t xml:space="preserve"> </w:t>
      </w:r>
      <w:r w:rsidR="00D713D2">
        <w:fldChar w:fldCharType="begin"/>
      </w:r>
      <w:r w:rsidR="00D713D2">
        <w:instrText xml:space="preserve"> REF _Ref23776062 \r \h </w:instrText>
      </w:r>
      <w:r w:rsidR="00D713D2">
        <w:fldChar w:fldCharType="separate"/>
      </w:r>
      <w:r w:rsidR="00CE14C9">
        <w:t>[9]</w:t>
      </w:r>
      <w:r w:rsidR="00D713D2">
        <w:fldChar w:fldCharType="end"/>
      </w:r>
      <w:r w:rsidR="00D713D2">
        <w:t xml:space="preserve"> </w:t>
      </w:r>
      <w:r w:rsidR="00C709F1">
        <w:t xml:space="preserve">already adopted the 15cm diameter (7.5cm radius) and the 30cm diameter (15cm radius) spherical quiet zones, as outlined in </w:t>
      </w:r>
      <w:r w:rsidR="00BA2881">
        <w:t>Clause O.2.4</w:t>
      </w:r>
      <w:r w:rsidR="00C709F1">
        <w:t>.</w:t>
      </w:r>
    </w:p>
    <w:tbl>
      <w:tblPr>
        <w:tblStyle w:val="TableGrid"/>
        <w:tblW w:w="0" w:type="auto"/>
        <w:tblLook w:val="04A0" w:firstRow="1" w:lastRow="0" w:firstColumn="1" w:lastColumn="0" w:noHBand="0" w:noVBand="1"/>
      </w:tblPr>
      <w:tblGrid>
        <w:gridCol w:w="9631"/>
      </w:tblGrid>
      <w:tr w:rsidR="00BA2881" w14:paraId="064939FE" w14:textId="77777777" w:rsidTr="00BA2881">
        <w:tc>
          <w:tcPr>
            <w:tcW w:w="9631" w:type="dxa"/>
          </w:tcPr>
          <w:p w14:paraId="42427048" w14:textId="77777777" w:rsidR="00BA2881" w:rsidRPr="00C16FE6" w:rsidRDefault="00BA2881" w:rsidP="00BA2881">
            <w:pPr>
              <w:pStyle w:val="Heading3"/>
            </w:pPr>
            <w:bookmarkStart w:id="8" w:name="_Toc21026932"/>
            <w:r w:rsidRPr="00C16FE6">
              <w:t>O.2.4</w:t>
            </w:r>
            <w:r w:rsidRPr="00C16FE6">
              <w:tab/>
              <w:t>Size of the quiet zone</w:t>
            </w:r>
            <w:bookmarkEnd w:id="8"/>
          </w:p>
          <w:p w14:paraId="09DA5E0A" w14:textId="77777777" w:rsidR="00BA2881" w:rsidRPr="00C16FE6" w:rsidRDefault="00BA2881" w:rsidP="00BA2881">
            <w:r w:rsidRPr="00C16FE6">
              <w:t xml:space="preserve">The size of the quiet zone within which the variations of measurements are evaluated depends on the size of the DUT. </w:t>
            </w:r>
            <w:r w:rsidRPr="00192DFC">
              <w:rPr>
                <w:highlight w:val="yellow"/>
              </w:rPr>
              <w:t>For smartphones, the quiet zone shall be considered a sphere with radius of R=7.5cm. For larger smartphones and tablet type devices, the quiet zone shall be considered a sphere with radius of R=15cm.</w:t>
            </w:r>
            <w:r w:rsidRPr="00C16FE6">
              <w:t xml:space="preserve"> Alternate quiet zone sizes can be defined for even larger DUTs.</w:t>
            </w:r>
          </w:p>
          <w:p w14:paraId="06870EA3" w14:textId="4ABC17D9" w:rsidR="00BA2881" w:rsidRDefault="00BA2881" w:rsidP="00C709F1">
            <w:r w:rsidRPr="00C16FE6">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tc>
      </w:tr>
    </w:tbl>
    <w:p w14:paraId="52F6A9AC" w14:textId="13B5C980" w:rsidR="00C709F1" w:rsidRDefault="00C709F1" w:rsidP="00C709F1">
      <w:pPr>
        <w:rPr>
          <w:rFonts w:eastAsia="Batang"/>
        </w:rPr>
      </w:pPr>
    </w:p>
    <w:p w14:paraId="5605253C" w14:textId="18CD6D84" w:rsidR="006B1343" w:rsidRDefault="006B1343" w:rsidP="006B1343">
      <w:bookmarkStart w:id="9" w:name="_Ref20225993"/>
      <w:r>
        <w:t xml:space="preserve">Sample quality of quiet zone MU values have been presented for both previously agreed quiet zones </w:t>
      </w:r>
      <w:r>
        <w:fldChar w:fldCharType="begin"/>
      </w:r>
      <w:r>
        <w:instrText xml:space="preserve"> REF _Ref22801604 \n \h </w:instrText>
      </w:r>
      <w:r>
        <w:fldChar w:fldCharType="separate"/>
      </w:r>
      <w:r w:rsidR="00CE14C9">
        <w:t>[10]</w:t>
      </w:r>
      <w:r>
        <w:fldChar w:fldCharType="end"/>
      </w:r>
      <w:r w:rsidR="00D65386">
        <w:fldChar w:fldCharType="begin"/>
      </w:r>
      <w:r w:rsidR="00D65386">
        <w:instrText xml:space="preserve"> REF _Ref23776981 \r \h </w:instrText>
      </w:r>
      <w:r w:rsidR="00D65386">
        <w:fldChar w:fldCharType="separate"/>
      </w:r>
      <w:r w:rsidR="00CE14C9">
        <w:t>[11]</w:t>
      </w:r>
      <w:r w:rsidR="00D65386">
        <w:fldChar w:fldCharType="end"/>
      </w:r>
      <w:r>
        <w:t xml:space="preserve"> and been included </w:t>
      </w:r>
      <w:r w:rsidR="007547B2">
        <w:fldChar w:fldCharType="begin"/>
      </w:r>
      <w:r w:rsidR="007547B2">
        <w:instrText xml:space="preserve"> REF _Ref23777748 \r \h </w:instrText>
      </w:r>
      <w:r w:rsidR="007547B2">
        <w:fldChar w:fldCharType="separate"/>
      </w:r>
      <w:r w:rsidR="007547B2">
        <w:t>[12]</w:t>
      </w:r>
      <w:r w:rsidR="007547B2">
        <w:fldChar w:fldCharType="end"/>
      </w:r>
      <w:r>
        <w:t xml:space="preserve"> The MUs agreed for the two different quiet zones are tabulated in </w:t>
      </w:r>
      <w:r>
        <w:fldChar w:fldCharType="begin"/>
      </w:r>
      <w:r>
        <w:instrText xml:space="preserve"> REF _Ref22803043 \h </w:instrText>
      </w:r>
      <w:r>
        <w:fldChar w:fldCharType="separate"/>
      </w:r>
      <w:r w:rsidR="00CE14C9">
        <w:t xml:space="preserve">Table </w:t>
      </w:r>
      <w:r w:rsidR="00CE14C9">
        <w:rPr>
          <w:noProof/>
        </w:rPr>
        <w:t>3</w:t>
      </w:r>
      <w:r>
        <w:fldChar w:fldCharType="end"/>
      </w:r>
      <w:r>
        <w:t xml:space="preserve">. </w:t>
      </w:r>
      <w:bookmarkEnd w:id="9"/>
    </w:p>
    <w:p w14:paraId="1E7251A1" w14:textId="5D8315A1" w:rsidR="006B1343" w:rsidRDefault="006B1343" w:rsidP="006B1343">
      <w:pPr>
        <w:pStyle w:val="Caption"/>
      </w:pPr>
      <w:bookmarkStart w:id="10" w:name="_Ref22803043"/>
      <w:r>
        <w:t xml:space="preserve">Table </w:t>
      </w:r>
      <w:r>
        <w:fldChar w:fldCharType="begin"/>
      </w:r>
      <w:r>
        <w:instrText xml:space="preserve"> SEQ Table \* ARABIC </w:instrText>
      </w:r>
      <w:r>
        <w:fldChar w:fldCharType="separate"/>
      </w:r>
      <w:r w:rsidR="00CE14C9">
        <w:rPr>
          <w:noProof/>
        </w:rPr>
        <w:t>3</w:t>
      </w:r>
      <w:r>
        <w:fldChar w:fldCharType="end"/>
      </w:r>
      <w:bookmarkEnd w:id="10"/>
      <w:r>
        <w:t>: Quality of Quiet Zone MU Values for MU spreadsheet to determine MTSU</w:t>
      </w:r>
    </w:p>
    <w:tbl>
      <w:tblPr>
        <w:tblStyle w:val="TableGrid"/>
        <w:tblW w:w="0" w:type="auto"/>
        <w:tblLook w:val="04A0" w:firstRow="1" w:lastRow="0" w:firstColumn="1" w:lastColumn="0" w:noHBand="0" w:noVBand="1"/>
      </w:tblPr>
      <w:tblGrid>
        <w:gridCol w:w="3116"/>
        <w:gridCol w:w="3117"/>
        <w:gridCol w:w="3117"/>
      </w:tblGrid>
      <w:tr w:rsidR="006B1343" w14:paraId="4020250D" w14:textId="77777777" w:rsidTr="00155653">
        <w:tc>
          <w:tcPr>
            <w:tcW w:w="3116" w:type="dxa"/>
          </w:tcPr>
          <w:p w14:paraId="22B2575F" w14:textId="77777777" w:rsidR="006B1343" w:rsidRDefault="006B1343" w:rsidP="00155653"/>
        </w:tc>
        <w:tc>
          <w:tcPr>
            <w:tcW w:w="3117" w:type="dxa"/>
            <w:vAlign w:val="center"/>
          </w:tcPr>
          <w:p w14:paraId="2ECE8EBC" w14:textId="77777777" w:rsidR="006B1343" w:rsidRPr="00324C4F" w:rsidRDefault="006B1343" w:rsidP="00155653">
            <w:pPr>
              <w:jc w:val="center"/>
              <w:rPr>
                <w:b/>
              </w:rPr>
            </w:pPr>
            <w:r w:rsidRPr="00324C4F">
              <w:rPr>
                <w:b/>
              </w:rPr>
              <w:t>15cm QZ MU</w:t>
            </w:r>
          </w:p>
        </w:tc>
        <w:tc>
          <w:tcPr>
            <w:tcW w:w="3117" w:type="dxa"/>
            <w:vAlign w:val="center"/>
          </w:tcPr>
          <w:p w14:paraId="4546971E" w14:textId="77777777" w:rsidR="006B1343" w:rsidRPr="00324C4F" w:rsidRDefault="006B1343" w:rsidP="00155653">
            <w:pPr>
              <w:jc w:val="center"/>
              <w:rPr>
                <w:b/>
              </w:rPr>
            </w:pPr>
            <w:r w:rsidRPr="00324C4F">
              <w:rPr>
                <w:b/>
              </w:rPr>
              <w:t>30cm QZ MU</w:t>
            </w:r>
          </w:p>
        </w:tc>
      </w:tr>
      <w:tr w:rsidR="006B1343" w14:paraId="6A6AB2AC" w14:textId="77777777" w:rsidTr="00155653">
        <w:tc>
          <w:tcPr>
            <w:tcW w:w="3116" w:type="dxa"/>
          </w:tcPr>
          <w:p w14:paraId="2C3A44AE" w14:textId="77777777" w:rsidR="006B1343" w:rsidRPr="00324C4F" w:rsidRDefault="006B1343" w:rsidP="00155653">
            <w:pPr>
              <w:rPr>
                <w:b/>
              </w:rPr>
            </w:pPr>
            <w:r w:rsidRPr="00324C4F">
              <w:rPr>
                <w:b/>
              </w:rPr>
              <w:t>Quality of QZ – TRP, EIRP, EIS, Spherical Coverage</w:t>
            </w:r>
          </w:p>
        </w:tc>
        <w:tc>
          <w:tcPr>
            <w:tcW w:w="3117" w:type="dxa"/>
            <w:vAlign w:val="center"/>
          </w:tcPr>
          <w:p w14:paraId="5269A2B3" w14:textId="77777777" w:rsidR="006B1343" w:rsidRDefault="006B1343" w:rsidP="00155653">
            <w:pPr>
              <w:jc w:val="center"/>
            </w:pPr>
            <w:r>
              <w:t>0.6 dB</w:t>
            </w:r>
          </w:p>
        </w:tc>
        <w:tc>
          <w:tcPr>
            <w:tcW w:w="3117" w:type="dxa"/>
            <w:vAlign w:val="center"/>
          </w:tcPr>
          <w:p w14:paraId="39937E8D" w14:textId="77777777" w:rsidR="006B1343" w:rsidRDefault="006B1343" w:rsidP="00155653">
            <w:pPr>
              <w:jc w:val="center"/>
            </w:pPr>
            <w:r>
              <w:t>0.5 dB</w:t>
            </w:r>
          </w:p>
        </w:tc>
      </w:tr>
      <w:tr w:rsidR="006B1343" w14:paraId="2687D5EA" w14:textId="77777777" w:rsidTr="00155653">
        <w:tc>
          <w:tcPr>
            <w:tcW w:w="3116" w:type="dxa"/>
          </w:tcPr>
          <w:p w14:paraId="1A556D51" w14:textId="77777777" w:rsidR="006B1343" w:rsidRPr="00324C4F" w:rsidRDefault="006B1343" w:rsidP="00155653">
            <w:pPr>
              <w:rPr>
                <w:b/>
              </w:rPr>
            </w:pPr>
            <w:r w:rsidRPr="00324C4F">
              <w:rPr>
                <w:b/>
              </w:rPr>
              <w:t>Quality of QZ for Calibration Process</w:t>
            </w:r>
          </w:p>
        </w:tc>
        <w:tc>
          <w:tcPr>
            <w:tcW w:w="3117" w:type="dxa"/>
            <w:vAlign w:val="center"/>
          </w:tcPr>
          <w:p w14:paraId="5A4F876D" w14:textId="77777777" w:rsidR="006B1343" w:rsidRDefault="006B1343" w:rsidP="00155653">
            <w:pPr>
              <w:jc w:val="center"/>
            </w:pPr>
            <w:r>
              <w:t>0.4 dB</w:t>
            </w:r>
          </w:p>
        </w:tc>
        <w:tc>
          <w:tcPr>
            <w:tcW w:w="3117" w:type="dxa"/>
            <w:vAlign w:val="center"/>
          </w:tcPr>
          <w:p w14:paraId="380B59FB" w14:textId="77777777" w:rsidR="006B1343" w:rsidRDefault="006B1343" w:rsidP="00155653">
            <w:pPr>
              <w:jc w:val="center"/>
            </w:pPr>
            <w:r>
              <w:t>0.2 dB</w:t>
            </w:r>
          </w:p>
        </w:tc>
      </w:tr>
    </w:tbl>
    <w:p w14:paraId="0ADCC528" w14:textId="3E162835" w:rsidR="006B1343" w:rsidRDefault="006B1343" w:rsidP="006B1343">
      <w:pPr>
        <w:pStyle w:val="Caption"/>
      </w:pPr>
      <w:bookmarkStart w:id="11" w:name="_Ref23777877"/>
      <w:r>
        <w:t xml:space="preserve">Observation </w:t>
      </w:r>
      <w:r>
        <w:fldChar w:fldCharType="begin"/>
      </w:r>
      <w:r>
        <w:instrText xml:space="preserve"> SEQ Observation \* ARABIC </w:instrText>
      </w:r>
      <w:r>
        <w:fldChar w:fldCharType="separate"/>
      </w:r>
      <w:r w:rsidR="006A3A3D">
        <w:rPr>
          <w:noProof/>
        </w:rPr>
        <w:t>2</w:t>
      </w:r>
      <w:r>
        <w:fldChar w:fldCharType="end"/>
      </w:r>
      <w:r>
        <w:t xml:space="preserve">: The 15cm Quality of Quiet Zone MUs (in DUT measurement and range reference stage) are greater than the 30cm </w:t>
      </w:r>
      <w:proofErr w:type="spellStart"/>
      <w:r>
        <w:t>MUs.</w:t>
      </w:r>
      <w:bookmarkEnd w:id="11"/>
      <w:proofErr w:type="spellEnd"/>
      <w:r>
        <w:t xml:space="preserve"> </w:t>
      </w:r>
    </w:p>
    <w:p w14:paraId="5284427B" w14:textId="2AC4A174" w:rsidR="006B1343" w:rsidRDefault="008E3173" w:rsidP="006B1343">
      <w:r>
        <w:t xml:space="preserve">In the last meeting, RAN5 agreed to </w:t>
      </w:r>
      <w:r w:rsidR="00404916">
        <w:t xml:space="preserve">track </w:t>
      </w:r>
      <w:r w:rsidR="006B1343">
        <w:t xml:space="preserve">just a single </w:t>
      </w:r>
      <w:r w:rsidR="008B471F">
        <w:t xml:space="preserve">MU </w:t>
      </w:r>
      <w:r w:rsidR="006B1343">
        <w:t>template</w:t>
      </w:r>
      <w:r w:rsidR="00914733">
        <w:t>/table</w:t>
      </w:r>
      <w:r w:rsidR="006B1343">
        <w:t xml:space="preserve"> taking only the largest MU contributors into account for quiet zones less or equal to 30cm </w:t>
      </w:r>
      <w:r w:rsidR="00914733">
        <w:fldChar w:fldCharType="begin"/>
      </w:r>
      <w:r w:rsidR="00914733">
        <w:instrText xml:space="preserve"> REF _Ref23777819 \r \h </w:instrText>
      </w:r>
      <w:r w:rsidR="00914733">
        <w:fldChar w:fldCharType="separate"/>
      </w:r>
      <w:r w:rsidR="00914733">
        <w:t>[13]</w:t>
      </w:r>
      <w:r w:rsidR="00914733">
        <w:fldChar w:fldCharType="end"/>
      </w:r>
      <w:r w:rsidR="006B1343">
        <w:fldChar w:fldCharType="begin"/>
      </w:r>
      <w:r w:rsidR="006B1343">
        <w:instrText xml:space="preserve"> REF _Ref22802865 \r \h </w:instrText>
      </w:r>
      <w:r w:rsidR="006B1343">
        <w:fldChar w:fldCharType="separate"/>
      </w:r>
      <w:r w:rsidR="00914733">
        <w:t>[14]</w:t>
      </w:r>
      <w:r w:rsidR="006B1343">
        <w:fldChar w:fldCharType="end"/>
      </w:r>
      <w:r w:rsidR="006B1343">
        <w:t xml:space="preserve">. It should be noted that RAN5 did not endorse </w:t>
      </w:r>
      <w:r w:rsidR="006B1343" w:rsidRPr="004F0DF8">
        <w:rPr>
          <w:u w:val="single"/>
        </w:rPr>
        <w:t>any</w:t>
      </w:r>
      <w:r w:rsidR="006B1343">
        <w:rPr>
          <w:u w:val="single"/>
        </w:rPr>
        <w:t xml:space="preserve"> arbitrary</w:t>
      </w:r>
      <w:r w:rsidR="006B1343">
        <w:t xml:space="preserve"> quiet zone definition less or equal to 30cm but merely to use the worst-case MU values of the 15cm quiet zone.</w:t>
      </w:r>
    </w:p>
    <w:p w14:paraId="36F7564E" w14:textId="77777777" w:rsidR="006B1343" w:rsidRDefault="006B1343" w:rsidP="006B1343">
      <w:pPr>
        <w:pBdr>
          <w:top w:val="single" w:sz="4" w:space="1" w:color="auto"/>
          <w:left w:val="single" w:sz="4" w:space="4" w:color="auto"/>
          <w:bottom w:val="single" w:sz="4" w:space="1" w:color="auto"/>
          <w:right w:val="single" w:sz="4" w:space="4" w:color="auto"/>
        </w:pBdr>
      </w:pPr>
      <w:r w:rsidRPr="00571169">
        <w:rPr>
          <w:b/>
          <w:highlight w:val="yellow"/>
        </w:rPr>
        <w:t>Proposal 1</w:t>
      </w:r>
      <w:r w:rsidRPr="00571169">
        <w:rPr>
          <w:highlight w:val="yellow"/>
        </w:rPr>
        <w:t>: Use only one measurement uncertainty in the specification for all quiet zone sizes less or equal to 30 cm based on the values for 15 cm quiet zone size (worst case).</w:t>
      </w:r>
    </w:p>
    <w:p w14:paraId="2B86697E" w14:textId="7154935B" w:rsidR="00152053" w:rsidRDefault="00B53471" w:rsidP="006B1343">
      <w:r>
        <w:t xml:space="preserve">While </w:t>
      </w:r>
      <w:r w:rsidR="00317CB2">
        <w:t>all</w:t>
      </w:r>
      <w:r>
        <w:t xml:space="preserve"> FR2 requirements so far have been </w:t>
      </w:r>
      <w:r w:rsidR="00F21FF2">
        <w:t>defined for the free-space test condition, it is well known that the free space test condition does not reflect real-world conditions which are emulated more appropriat</w:t>
      </w:r>
      <w:r w:rsidR="00317CB2">
        <w:t>ely</w:t>
      </w:r>
      <w:r w:rsidR="00FF4F60">
        <w:t xml:space="preserve"> with phantoms. Most</w:t>
      </w:r>
      <w:r w:rsidR="00CE2E18">
        <w:t xml:space="preserve"> </w:t>
      </w:r>
      <w:r w:rsidR="00812C50">
        <w:t xml:space="preserve">3GPP technical specifications related to OTA test cases include </w:t>
      </w:r>
      <w:r w:rsidR="00CB1BD1">
        <w:t xml:space="preserve">various </w:t>
      </w:r>
      <w:r w:rsidR="00812C50">
        <w:t xml:space="preserve">phantoms </w:t>
      </w:r>
      <w:r w:rsidR="00812C50">
        <w:fldChar w:fldCharType="begin"/>
      </w:r>
      <w:r w:rsidR="00812C50">
        <w:instrText xml:space="preserve"> REF _Ref24088794 \r \h </w:instrText>
      </w:r>
      <w:r w:rsidR="00812C50">
        <w:fldChar w:fldCharType="separate"/>
      </w:r>
      <w:r w:rsidR="00812C50">
        <w:t>[16]</w:t>
      </w:r>
      <w:r w:rsidR="00812C50">
        <w:fldChar w:fldCharType="end"/>
      </w:r>
      <w:r w:rsidR="00812C50">
        <w:fldChar w:fldCharType="begin"/>
      </w:r>
      <w:r w:rsidR="00812C50">
        <w:instrText xml:space="preserve"> REF _Ref24088796 \r \h </w:instrText>
      </w:r>
      <w:r w:rsidR="00812C50">
        <w:fldChar w:fldCharType="separate"/>
      </w:r>
      <w:r w:rsidR="00812C50">
        <w:t>[17]</w:t>
      </w:r>
      <w:r w:rsidR="00812C50">
        <w:fldChar w:fldCharType="end"/>
      </w:r>
      <w:r w:rsidR="00A02C57">
        <w:t xml:space="preserve"> </w:t>
      </w:r>
      <w:r w:rsidR="009F45E2">
        <w:t>with</w:t>
      </w:r>
      <w:r w:rsidR="0058582D">
        <w:t xml:space="preserve"> phantoms adopted from</w:t>
      </w:r>
      <w:r w:rsidR="00A02C57">
        <w:t xml:space="preserve"> the CTIA test plan </w:t>
      </w:r>
      <w:r w:rsidR="00A02C57">
        <w:fldChar w:fldCharType="begin"/>
      </w:r>
      <w:r w:rsidR="00A02C57">
        <w:instrText xml:space="preserve"> REF _Ref19279702 \r \h </w:instrText>
      </w:r>
      <w:r w:rsidR="00A02C57">
        <w:fldChar w:fldCharType="separate"/>
      </w:r>
      <w:r w:rsidR="00A02C57">
        <w:t>[5]</w:t>
      </w:r>
      <w:r w:rsidR="00A02C57">
        <w:fldChar w:fldCharType="end"/>
      </w:r>
      <w:r w:rsidR="00CB1BD1">
        <w:t xml:space="preserve">. </w:t>
      </w:r>
      <w:r w:rsidR="00A003B8">
        <w:t xml:space="preserve">CTIA is currently actively developing phantoms for mm-wave </w:t>
      </w:r>
      <w:r w:rsidR="009F2205">
        <w:fldChar w:fldCharType="begin"/>
      </w:r>
      <w:r w:rsidR="009F2205">
        <w:instrText xml:space="preserve"> REF _Ref24089189 \r \h </w:instrText>
      </w:r>
      <w:r w:rsidR="009F2205">
        <w:fldChar w:fldCharType="separate"/>
      </w:r>
      <w:r w:rsidR="009F2205">
        <w:t>[18]</w:t>
      </w:r>
      <w:r w:rsidR="009F2205">
        <w:fldChar w:fldCharType="end"/>
      </w:r>
      <w:r w:rsidR="009F2205">
        <w:t xml:space="preserve"> and RAN4 has </w:t>
      </w:r>
      <w:r w:rsidR="001A76F3">
        <w:t xml:space="preserve">already </w:t>
      </w:r>
      <w:r w:rsidR="009F2205">
        <w:t>expressed interest</w:t>
      </w:r>
      <w:r w:rsidR="00120864">
        <w:t xml:space="preserve"> to CTIA</w:t>
      </w:r>
      <w:r w:rsidR="009F2205">
        <w:t xml:space="preserve"> in</w:t>
      </w:r>
      <w:r w:rsidR="001A76F3">
        <w:t xml:space="preserve"> </w:t>
      </w:r>
      <w:r w:rsidR="00120864">
        <w:t xml:space="preserve">taking phantoms </w:t>
      </w:r>
      <w:r w:rsidR="00833DC9">
        <w:t xml:space="preserve">into account </w:t>
      </w:r>
      <w:r w:rsidR="00085DF8">
        <w:t xml:space="preserve">to develop corresponding </w:t>
      </w:r>
      <w:r w:rsidR="00120864">
        <w:t xml:space="preserve">FR2 requirements </w:t>
      </w:r>
      <w:r w:rsidR="00085DF8">
        <w:fldChar w:fldCharType="begin"/>
      </w:r>
      <w:r w:rsidR="00085DF8">
        <w:instrText xml:space="preserve"> REF _Ref24089295 \r \h </w:instrText>
      </w:r>
      <w:r w:rsidR="00085DF8">
        <w:fldChar w:fldCharType="separate"/>
      </w:r>
      <w:r w:rsidR="00085DF8">
        <w:t>[19]</w:t>
      </w:r>
      <w:r w:rsidR="00085DF8">
        <w:fldChar w:fldCharType="end"/>
      </w:r>
      <w:r w:rsidR="00085DF8">
        <w:t xml:space="preserve">. </w:t>
      </w:r>
    </w:p>
    <w:p w14:paraId="54A5FC66" w14:textId="26FA9A8E" w:rsidR="006A3A3D" w:rsidRDefault="006A3A3D" w:rsidP="006A3A3D">
      <w:pPr>
        <w:pStyle w:val="Caption"/>
      </w:pPr>
      <w:bookmarkStart w:id="12" w:name="_Ref24108166"/>
      <w:r>
        <w:lastRenderedPageBreak/>
        <w:t xml:space="preserve">Observation </w:t>
      </w:r>
      <w:r>
        <w:fldChar w:fldCharType="begin"/>
      </w:r>
      <w:r>
        <w:instrText xml:space="preserve"> SEQ Observation \* ARABIC </w:instrText>
      </w:r>
      <w:r>
        <w:fldChar w:fldCharType="separate"/>
      </w:r>
      <w:r>
        <w:rPr>
          <w:noProof/>
        </w:rPr>
        <w:t>3</w:t>
      </w:r>
      <w:r>
        <w:fldChar w:fldCharType="end"/>
      </w:r>
      <w:r>
        <w:t>: OTA testing with phantoms reflects more realistic conditions and RAN4 has already expressed interest in defining requirements using phantoms</w:t>
      </w:r>
      <w:bookmarkEnd w:id="12"/>
    </w:p>
    <w:p w14:paraId="02ABE939" w14:textId="4A342522" w:rsidR="006B1343" w:rsidRDefault="006B1343" w:rsidP="006B1343">
      <w:r>
        <w:t>Since the 15cm quiet zone is too small to test smartphone UEs, various way forwards have been discussed in CTIA</w:t>
      </w:r>
      <w:r w:rsidR="00267C0F">
        <w:t xml:space="preserve"> </w:t>
      </w:r>
      <w:r w:rsidR="00267C0F">
        <w:fldChar w:fldCharType="begin"/>
      </w:r>
      <w:r w:rsidR="00267C0F">
        <w:instrText xml:space="preserve"> REF _Ref23777389 \r \h </w:instrText>
      </w:r>
      <w:r w:rsidR="00267C0F">
        <w:fldChar w:fldCharType="separate"/>
      </w:r>
      <w:r w:rsidR="00742BB5">
        <w:t>[15]</w:t>
      </w:r>
      <w:r w:rsidR="00267C0F">
        <w:fldChar w:fldCharType="end"/>
      </w:r>
      <w:r>
        <w:t xml:space="preserve">, 3GPP RAN4 </w:t>
      </w:r>
      <w:r w:rsidR="00B35A42">
        <w:fldChar w:fldCharType="begin"/>
      </w:r>
      <w:r w:rsidR="00B35A42">
        <w:instrText xml:space="preserve"> REF _Ref23775456 \r \h </w:instrText>
      </w:r>
      <w:r w:rsidR="00B35A42">
        <w:fldChar w:fldCharType="separate"/>
      </w:r>
      <w:r w:rsidR="00742BB5">
        <w:t>[1]</w:t>
      </w:r>
      <w:r w:rsidR="00B35A42">
        <w:fldChar w:fldCharType="end"/>
      </w:r>
      <w:r>
        <w:fldChar w:fldCharType="begin"/>
      </w:r>
      <w:r>
        <w:instrText xml:space="preserve"> REF _Ref22811590 \r \h </w:instrText>
      </w:r>
      <w:r>
        <w:fldChar w:fldCharType="separate"/>
      </w:r>
      <w:r w:rsidR="00742BB5">
        <w:t>[20]</w:t>
      </w:r>
      <w:r>
        <w:fldChar w:fldCharType="end"/>
      </w:r>
      <w:r>
        <w:t xml:space="preserve"> and offline between interested parties. The potential way forwards are summarized in</w:t>
      </w:r>
      <w:r w:rsidR="009675A5">
        <w:t xml:space="preserve"> </w:t>
      </w:r>
      <w:r w:rsidR="009675A5">
        <w:fldChar w:fldCharType="begin"/>
      </w:r>
      <w:r w:rsidR="009675A5">
        <w:instrText xml:space="preserve"> REF _Ref23777480 \h </w:instrText>
      </w:r>
      <w:r w:rsidR="009675A5">
        <w:fldChar w:fldCharType="separate"/>
      </w:r>
      <w:r w:rsidR="00742BB5">
        <w:t xml:space="preserve">Table </w:t>
      </w:r>
      <w:r w:rsidR="00742BB5">
        <w:rPr>
          <w:noProof/>
        </w:rPr>
        <w:t>4</w:t>
      </w:r>
      <w:r w:rsidR="009675A5">
        <w:fldChar w:fldCharType="end"/>
      </w:r>
      <w:r>
        <w:t xml:space="preserve">. </w:t>
      </w:r>
    </w:p>
    <w:p w14:paraId="181EEDC0" w14:textId="1850FEF6" w:rsidR="006B1343" w:rsidRPr="00571169" w:rsidRDefault="006B1343" w:rsidP="004D3B35">
      <w:pPr>
        <w:pStyle w:val="Caption"/>
        <w:jc w:val="center"/>
      </w:pPr>
      <w:bookmarkStart w:id="13" w:name="_Ref22811689"/>
      <w:bookmarkStart w:id="14" w:name="_Ref23777480"/>
      <w:r>
        <w:t>Table</w:t>
      </w:r>
      <w:bookmarkEnd w:id="13"/>
      <w:r>
        <w:t xml:space="preserve"> </w:t>
      </w:r>
      <w:bookmarkStart w:id="15" w:name="_Ref22811774"/>
      <w:r>
        <w:fldChar w:fldCharType="begin"/>
      </w:r>
      <w:r>
        <w:instrText xml:space="preserve"> SEQ Table \* ARABIC </w:instrText>
      </w:r>
      <w:r>
        <w:fldChar w:fldCharType="separate"/>
      </w:r>
      <w:r w:rsidR="00CE14C9">
        <w:rPr>
          <w:noProof/>
        </w:rPr>
        <w:t>4</w:t>
      </w:r>
      <w:r>
        <w:fldChar w:fldCharType="end"/>
      </w:r>
      <w:bookmarkEnd w:id="14"/>
      <w:bookmarkEnd w:id="15"/>
      <w:r>
        <w:t xml:space="preserve">: </w:t>
      </w:r>
      <w:r w:rsidRPr="00571169">
        <w:t xml:space="preserve">Way forward options to handle quiet zones </w:t>
      </w:r>
      <w:r w:rsidR="007213A2">
        <w:t>in RAN5</w:t>
      </w:r>
    </w:p>
    <w:tbl>
      <w:tblPr>
        <w:tblStyle w:val="TableGrid"/>
        <w:tblW w:w="9937" w:type="dxa"/>
        <w:tblLook w:val="04A0" w:firstRow="1" w:lastRow="0" w:firstColumn="1" w:lastColumn="0" w:noHBand="0" w:noVBand="1"/>
      </w:tblPr>
      <w:tblGrid>
        <w:gridCol w:w="1915"/>
        <w:gridCol w:w="1123"/>
        <w:gridCol w:w="1139"/>
        <w:gridCol w:w="2880"/>
        <w:gridCol w:w="2880"/>
      </w:tblGrid>
      <w:tr w:rsidR="006B1343" w14:paraId="5B74D419" w14:textId="77777777" w:rsidTr="00155653">
        <w:tc>
          <w:tcPr>
            <w:tcW w:w="1915" w:type="dxa"/>
          </w:tcPr>
          <w:p w14:paraId="7593A183" w14:textId="77777777" w:rsidR="006B1343" w:rsidRPr="00571169" w:rsidRDefault="006B1343" w:rsidP="00155653">
            <w:pPr>
              <w:rPr>
                <w:b/>
              </w:rPr>
            </w:pPr>
            <w:r w:rsidRPr="00571169">
              <w:rPr>
                <w:b/>
              </w:rPr>
              <w:t>Option</w:t>
            </w:r>
          </w:p>
        </w:tc>
        <w:tc>
          <w:tcPr>
            <w:tcW w:w="1123" w:type="dxa"/>
          </w:tcPr>
          <w:p w14:paraId="3BA8095D" w14:textId="77777777" w:rsidR="006B1343" w:rsidRPr="00571169" w:rsidRDefault="006B1343" w:rsidP="00155653">
            <w:pPr>
              <w:jc w:val="center"/>
              <w:rPr>
                <w:b/>
              </w:rPr>
            </w:pPr>
            <w:r w:rsidRPr="00571169">
              <w:rPr>
                <w:b/>
              </w:rPr>
              <w:t>“Small QZ”</w:t>
            </w:r>
          </w:p>
        </w:tc>
        <w:tc>
          <w:tcPr>
            <w:tcW w:w="1139" w:type="dxa"/>
          </w:tcPr>
          <w:p w14:paraId="387C087B" w14:textId="77777777" w:rsidR="006B1343" w:rsidRPr="00571169" w:rsidRDefault="006B1343" w:rsidP="00155653">
            <w:pPr>
              <w:jc w:val="center"/>
              <w:rPr>
                <w:b/>
              </w:rPr>
            </w:pPr>
            <w:r w:rsidRPr="00571169">
              <w:rPr>
                <w:b/>
              </w:rPr>
              <w:t>“Largest” QZ</w:t>
            </w:r>
          </w:p>
        </w:tc>
        <w:tc>
          <w:tcPr>
            <w:tcW w:w="2880" w:type="dxa"/>
          </w:tcPr>
          <w:p w14:paraId="095E2C68" w14:textId="77777777" w:rsidR="006B1343" w:rsidRPr="00571169" w:rsidRDefault="006B1343" w:rsidP="00155653">
            <w:pPr>
              <w:jc w:val="center"/>
              <w:rPr>
                <w:b/>
              </w:rPr>
            </w:pPr>
            <w:r w:rsidRPr="00571169">
              <w:rPr>
                <w:b/>
              </w:rPr>
              <w:t>Advantage</w:t>
            </w:r>
          </w:p>
        </w:tc>
        <w:tc>
          <w:tcPr>
            <w:tcW w:w="2880" w:type="dxa"/>
          </w:tcPr>
          <w:p w14:paraId="7CDA3D76" w14:textId="77777777" w:rsidR="006B1343" w:rsidRPr="00571169" w:rsidRDefault="006B1343" w:rsidP="00155653">
            <w:pPr>
              <w:jc w:val="center"/>
              <w:rPr>
                <w:b/>
              </w:rPr>
            </w:pPr>
            <w:r w:rsidRPr="00571169">
              <w:rPr>
                <w:b/>
              </w:rPr>
              <w:t>Disadvantage</w:t>
            </w:r>
          </w:p>
        </w:tc>
      </w:tr>
      <w:tr w:rsidR="006B1343" w14:paraId="1B6F2BD9" w14:textId="77777777" w:rsidTr="00155653">
        <w:tc>
          <w:tcPr>
            <w:tcW w:w="1915" w:type="dxa"/>
          </w:tcPr>
          <w:p w14:paraId="2BF9A337" w14:textId="77777777" w:rsidR="006B1343" w:rsidRDefault="006B1343" w:rsidP="00155653">
            <w:r>
              <w:t>Keep 15cm and 30cm QZs</w:t>
            </w:r>
          </w:p>
        </w:tc>
        <w:tc>
          <w:tcPr>
            <w:tcW w:w="1123" w:type="dxa"/>
            <w:vAlign w:val="center"/>
          </w:tcPr>
          <w:p w14:paraId="22F7508C" w14:textId="77777777" w:rsidR="006B1343" w:rsidRDefault="006B1343" w:rsidP="00155653">
            <w:pPr>
              <w:jc w:val="center"/>
            </w:pPr>
            <w:r>
              <w:t>15cm</w:t>
            </w:r>
          </w:p>
        </w:tc>
        <w:tc>
          <w:tcPr>
            <w:tcW w:w="1139" w:type="dxa"/>
            <w:vAlign w:val="center"/>
          </w:tcPr>
          <w:p w14:paraId="04D9BCFE" w14:textId="77777777" w:rsidR="006B1343" w:rsidRDefault="006B1343" w:rsidP="00155653">
            <w:pPr>
              <w:jc w:val="center"/>
            </w:pPr>
            <w:r>
              <w:t>30cm</w:t>
            </w:r>
          </w:p>
        </w:tc>
        <w:tc>
          <w:tcPr>
            <w:tcW w:w="2880" w:type="dxa"/>
          </w:tcPr>
          <w:p w14:paraId="3033FD3E" w14:textId="77777777"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 xml:space="preserve">Smaller footprint for 15cm QZ systems possible </w:t>
            </w:r>
          </w:p>
          <w:p w14:paraId="38A57FA1" w14:textId="77777777"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Sample MUs were provided for both QZs</w:t>
            </w:r>
          </w:p>
        </w:tc>
        <w:tc>
          <w:tcPr>
            <w:tcW w:w="2880" w:type="dxa"/>
          </w:tcPr>
          <w:p w14:paraId="401E2844"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b/>
                <w:sz w:val="20"/>
                <w:szCs w:val="20"/>
              </w:rPr>
            </w:pPr>
            <w:r w:rsidRPr="00FE278F">
              <w:rPr>
                <w:rFonts w:ascii="Times New Roman" w:hAnsi="Times New Roman"/>
                <w:b/>
                <w:sz w:val="20"/>
                <w:szCs w:val="20"/>
              </w:rPr>
              <w:t>Smartphones do not fit into the 15cm QZ</w:t>
            </w:r>
          </w:p>
          <w:p w14:paraId="5FFB9E4E"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MTSU is increased unnecessarily</w:t>
            </w:r>
          </w:p>
          <w:p w14:paraId="52F4FBDD"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Very large portion of phantoms would be outside of the 15cm QZ</w:t>
            </w:r>
          </w:p>
        </w:tc>
      </w:tr>
      <w:tr w:rsidR="006B1343" w14:paraId="70F1ECCF" w14:textId="77777777" w:rsidTr="00155653">
        <w:tc>
          <w:tcPr>
            <w:tcW w:w="1915" w:type="dxa"/>
          </w:tcPr>
          <w:p w14:paraId="12F1E027" w14:textId="77777777" w:rsidR="006B1343" w:rsidRDefault="006B1343" w:rsidP="00155653">
            <w:r>
              <w:t>Replace 15cm QZ with 20cm QZ</w:t>
            </w:r>
          </w:p>
        </w:tc>
        <w:tc>
          <w:tcPr>
            <w:tcW w:w="1123" w:type="dxa"/>
            <w:vAlign w:val="center"/>
          </w:tcPr>
          <w:p w14:paraId="6430F41C" w14:textId="77777777" w:rsidR="006B1343" w:rsidRDefault="006B1343" w:rsidP="00155653">
            <w:pPr>
              <w:jc w:val="center"/>
            </w:pPr>
            <w:r>
              <w:t>20cm</w:t>
            </w:r>
          </w:p>
        </w:tc>
        <w:tc>
          <w:tcPr>
            <w:tcW w:w="1139" w:type="dxa"/>
            <w:vAlign w:val="center"/>
          </w:tcPr>
          <w:p w14:paraId="4511BC00" w14:textId="77777777" w:rsidR="006B1343" w:rsidRDefault="006B1343" w:rsidP="00155653">
            <w:pPr>
              <w:jc w:val="center"/>
            </w:pPr>
            <w:r>
              <w:t>30cm</w:t>
            </w:r>
          </w:p>
        </w:tc>
        <w:tc>
          <w:tcPr>
            <w:tcW w:w="2880" w:type="dxa"/>
          </w:tcPr>
          <w:p w14:paraId="54662012" w14:textId="77777777"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Smaller footprint for 20cm QZ systems possible</w:t>
            </w:r>
          </w:p>
        </w:tc>
        <w:tc>
          <w:tcPr>
            <w:tcW w:w="2880" w:type="dxa"/>
          </w:tcPr>
          <w:p w14:paraId="6CE924BC"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No MU for 20cm QoQZ available to finalize MTSU</w:t>
            </w:r>
          </w:p>
          <w:p w14:paraId="4733241A"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MTSU is likely increased unnecessarily</w:t>
            </w:r>
          </w:p>
          <w:p w14:paraId="0FFCD131"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Large portion of phantoms would be outside of the 20cm QZ</w:t>
            </w:r>
          </w:p>
        </w:tc>
      </w:tr>
      <w:tr w:rsidR="006B1343" w14:paraId="1246CFF0" w14:textId="77777777" w:rsidTr="00155653">
        <w:tc>
          <w:tcPr>
            <w:tcW w:w="1915" w:type="dxa"/>
          </w:tcPr>
          <w:p w14:paraId="0C16C141" w14:textId="77777777" w:rsidR="006B1343" w:rsidRDefault="006B1343" w:rsidP="00155653">
            <w:r>
              <w:t>Allow any arbitrary QZ sizes less or equal to 30cm</w:t>
            </w:r>
          </w:p>
        </w:tc>
        <w:tc>
          <w:tcPr>
            <w:tcW w:w="1123" w:type="dxa"/>
            <w:vAlign w:val="center"/>
          </w:tcPr>
          <w:p w14:paraId="60009E6C" w14:textId="77777777" w:rsidR="006B1343" w:rsidRDefault="006B1343" w:rsidP="00155653">
            <w:pPr>
              <w:jc w:val="center"/>
            </w:pPr>
            <w:r>
              <w:t>Any QZ&lt;30cm</w:t>
            </w:r>
          </w:p>
        </w:tc>
        <w:tc>
          <w:tcPr>
            <w:tcW w:w="1139" w:type="dxa"/>
            <w:vAlign w:val="center"/>
          </w:tcPr>
          <w:p w14:paraId="12CA7DD6" w14:textId="77777777" w:rsidR="006B1343" w:rsidRDefault="006B1343" w:rsidP="00155653">
            <w:pPr>
              <w:jc w:val="center"/>
            </w:pPr>
            <w:r>
              <w:t>30cm</w:t>
            </w:r>
          </w:p>
        </w:tc>
        <w:tc>
          <w:tcPr>
            <w:tcW w:w="2880" w:type="dxa"/>
          </w:tcPr>
          <w:p w14:paraId="7D4A4418" w14:textId="77777777"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Test systems can be optimized in size for smaller QZ sizes</w:t>
            </w:r>
          </w:p>
        </w:tc>
        <w:tc>
          <w:tcPr>
            <w:tcW w:w="2880" w:type="dxa"/>
          </w:tcPr>
          <w:p w14:paraId="25234641"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No clear approach how MTSU is determined for QZ sizes ≤ 30cm</w:t>
            </w:r>
          </w:p>
          <w:p w14:paraId="554AF711"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MTSU is likely increased unnecessarily</w:t>
            </w:r>
          </w:p>
          <w:p w14:paraId="37F51DA5" w14:textId="77777777" w:rsidR="006B1343" w:rsidRPr="00FE278F" w:rsidRDefault="006B1343" w:rsidP="006B1343">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Large portion of phantoms would be outside of QZs less than 30cm</w:t>
            </w:r>
          </w:p>
          <w:p w14:paraId="517F0DF2" w14:textId="77777777" w:rsidR="006B1343" w:rsidRPr="00FE278F" w:rsidRDefault="006B1343" w:rsidP="00DB7F5D">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bCs/>
                <w:sz w:val="20"/>
                <w:szCs w:val="20"/>
              </w:rPr>
              <w:t>Confusion</w:t>
            </w:r>
            <w:r w:rsidRPr="00FE278F">
              <w:rPr>
                <w:rFonts w:ascii="Times New Roman" w:hAnsi="Times New Roman"/>
                <w:sz w:val="20"/>
                <w:szCs w:val="20"/>
              </w:rPr>
              <w:t xml:space="preserve"> caused with multiple arbitrary QZ</w:t>
            </w:r>
          </w:p>
        </w:tc>
      </w:tr>
      <w:tr w:rsidR="006B1343" w14:paraId="55C3F0F6" w14:textId="77777777" w:rsidTr="00155653">
        <w:tc>
          <w:tcPr>
            <w:tcW w:w="1915" w:type="dxa"/>
          </w:tcPr>
          <w:p w14:paraId="41A3E78E" w14:textId="77777777" w:rsidR="006B1343" w:rsidRDefault="006B1343" w:rsidP="00155653">
            <w:r>
              <w:t>Abandon the 15cm QZ and focus only on the 30cm QZ</w:t>
            </w:r>
          </w:p>
        </w:tc>
        <w:tc>
          <w:tcPr>
            <w:tcW w:w="1123" w:type="dxa"/>
            <w:vAlign w:val="center"/>
          </w:tcPr>
          <w:p w14:paraId="47F7035C" w14:textId="77777777" w:rsidR="006B1343" w:rsidRDefault="006B1343" w:rsidP="00DB7F5D">
            <w:pPr>
              <w:jc w:val="center"/>
            </w:pPr>
            <w:r>
              <w:t>N/A</w:t>
            </w:r>
          </w:p>
        </w:tc>
        <w:tc>
          <w:tcPr>
            <w:tcW w:w="1139" w:type="dxa"/>
            <w:vAlign w:val="center"/>
          </w:tcPr>
          <w:p w14:paraId="6A48B2EA" w14:textId="77777777" w:rsidR="006B1343" w:rsidRDefault="006B1343" w:rsidP="00DB7F5D">
            <w:pPr>
              <w:jc w:val="center"/>
            </w:pPr>
            <w:r>
              <w:t>30cm</w:t>
            </w:r>
          </w:p>
        </w:tc>
        <w:tc>
          <w:tcPr>
            <w:tcW w:w="2880" w:type="dxa"/>
          </w:tcPr>
          <w:p w14:paraId="0204BAB1" w14:textId="593DCCC0"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 xml:space="preserve">Minimal changes </w:t>
            </w:r>
            <w:r w:rsidR="00FD3232">
              <w:rPr>
                <w:rFonts w:ascii="Times New Roman" w:hAnsi="Times New Roman"/>
                <w:sz w:val="20"/>
                <w:szCs w:val="20"/>
              </w:rPr>
              <w:t xml:space="preserve">in </w:t>
            </w:r>
            <w:r w:rsidR="00D51A4E">
              <w:rPr>
                <w:rFonts w:ascii="Times New Roman" w:hAnsi="Times New Roman"/>
                <w:sz w:val="20"/>
                <w:szCs w:val="20"/>
              </w:rPr>
              <w:t>38.521-2</w:t>
            </w:r>
          </w:p>
          <w:p w14:paraId="0A7AB933" w14:textId="77777777"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MTSU is minimized</w:t>
            </w:r>
          </w:p>
          <w:p w14:paraId="211F830B" w14:textId="77777777"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No confusion about different QZ sizes</w:t>
            </w:r>
          </w:p>
          <w:p w14:paraId="50F2F93A" w14:textId="24E4C7A5" w:rsidR="006B1343" w:rsidRPr="00FE278F" w:rsidRDefault="006B1343" w:rsidP="006B1343">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 xml:space="preserve">Alignment with other </w:t>
            </w:r>
            <w:r w:rsidR="00D51A4E">
              <w:rPr>
                <w:rFonts w:ascii="Times New Roman" w:hAnsi="Times New Roman"/>
                <w:sz w:val="20"/>
                <w:szCs w:val="20"/>
              </w:rPr>
              <w:t>OTA</w:t>
            </w:r>
            <w:r w:rsidRPr="00FE278F">
              <w:rPr>
                <w:rFonts w:ascii="Times New Roman" w:hAnsi="Times New Roman"/>
                <w:sz w:val="20"/>
                <w:szCs w:val="20"/>
              </w:rPr>
              <w:t xml:space="preserve"> test plans</w:t>
            </w:r>
          </w:p>
          <w:p w14:paraId="14501887" w14:textId="77777777" w:rsidR="006B1343" w:rsidRPr="00FE278F" w:rsidRDefault="006B1343" w:rsidP="00DB7F5D">
            <w:pPr>
              <w:pStyle w:val="ListParagraph"/>
              <w:widowControl w:val="0"/>
              <w:numPr>
                <w:ilvl w:val="0"/>
                <w:numId w:val="40"/>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Forward compatibility with phantoms</w:t>
            </w:r>
          </w:p>
        </w:tc>
        <w:tc>
          <w:tcPr>
            <w:tcW w:w="2880" w:type="dxa"/>
          </w:tcPr>
          <w:p w14:paraId="5FC9A4CB" w14:textId="77777777" w:rsidR="006B1343" w:rsidRPr="00FE278F" w:rsidRDefault="006B1343" w:rsidP="00DB7F5D">
            <w:pPr>
              <w:pStyle w:val="ListParagraph"/>
              <w:widowControl w:val="0"/>
              <w:numPr>
                <w:ilvl w:val="0"/>
                <w:numId w:val="41"/>
              </w:numPr>
              <w:spacing w:after="0" w:line="240" w:lineRule="auto"/>
              <w:ind w:left="144" w:hanging="144"/>
              <w:contextualSpacing w:val="0"/>
              <w:rPr>
                <w:rFonts w:ascii="Times New Roman" w:hAnsi="Times New Roman"/>
                <w:sz w:val="20"/>
                <w:szCs w:val="20"/>
              </w:rPr>
            </w:pPr>
            <w:r w:rsidRPr="00FE278F">
              <w:rPr>
                <w:rFonts w:ascii="Times New Roman" w:hAnsi="Times New Roman"/>
                <w:sz w:val="20"/>
                <w:szCs w:val="20"/>
              </w:rPr>
              <w:t xml:space="preserve">no opportunity for size reduced systems due to smaller quiet zone. </w:t>
            </w:r>
          </w:p>
        </w:tc>
      </w:tr>
    </w:tbl>
    <w:p w14:paraId="138AC74A" w14:textId="2C8246A8" w:rsidR="006B1343" w:rsidRPr="00FE278F" w:rsidRDefault="006B1343" w:rsidP="00FE278F">
      <w:pPr>
        <w:pStyle w:val="Caption"/>
        <w:rPr>
          <w:b w:val="0"/>
        </w:rPr>
      </w:pPr>
      <w:r w:rsidRPr="00FE278F">
        <w:rPr>
          <w:b w:val="0"/>
        </w:rPr>
        <w:t xml:space="preserve">Weighing the pros and cons of the various options, the approach to abandon the 15cm quiet zone is proposed and to focus on the 30cm quiet zone </w:t>
      </w:r>
      <w:r w:rsidR="000C78BC">
        <w:rPr>
          <w:b w:val="0"/>
        </w:rPr>
        <w:t>in RAN5</w:t>
      </w:r>
      <w:r w:rsidRPr="00FE278F">
        <w:rPr>
          <w:b w:val="0"/>
        </w:rPr>
        <w:t xml:space="preserve">. </w:t>
      </w:r>
    </w:p>
    <w:p w14:paraId="1F4110B9" w14:textId="2DE2C44F" w:rsidR="006B1343" w:rsidRPr="006B1343" w:rsidRDefault="006B1343" w:rsidP="006B1343">
      <w:pPr>
        <w:pStyle w:val="Caption"/>
      </w:pPr>
      <w:bookmarkStart w:id="16" w:name="_Ref19709275"/>
      <w:bookmarkStart w:id="17" w:name="_Ref19796520"/>
      <w:r w:rsidRPr="006B1343">
        <w:t xml:space="preserve">Proposal </w:t>
      </w:r>
      <w:r w:rsidRPr="006B1343">
        <w:rPr>
          <w:noProof/>
        </w:rPr>
        <w:fldChar w:fldCharType="begin"/>
      </w:r>
      <w:r w:rsidRPr="00DB7F5D">
        <w:rPr>
          <w:noProof/>
        </w:rPr>
        <w:instrText xml:space="preserve"> SEQ Proposal \* ARABIC </w:instrText>
      </w:r>
      <w:r w:rsidRPr="006B1343">
        <w:rPr>
          <w:noProof/>
        </w:rPr>
        <w:fldChar w:fldCharType="separate"/>
      </w:r>
      <w:r w:rsidR="00CE14C9">
        <w:rPr>
          <w:noProof/>
        </w:rPr>
        <w:t>1</w:t>
      </w:r>
      <w:r w:rsidRPr="006B1343">
        <w:rPr>
          <w:noProof/>
        </w:rPr>
        <w:fldChar w:fldCharType="end"/>
      </w:r>
      <w:r w:rsidRPr="006B1343">
        <w:t xml:space="preserve">: Abandon the 15cm quiet zone for PC3 smartphones and handsets </w:t>
      </w:r>
      <w:bookmarkEnd w:id="16"/>
      <w:r w:rsidRPr="006B1343">
        <w:t>and focus only on the 30cm quiet zone for smartphone UEs and handhelds.</w:t>
      </w:r>
      <w:bookmarkEnd w:id="17"/>
      <w:r w:rsidRPr="006B1343">
        <w:t xml:space="preserve"> </w:t>
      </w:r>
    </w:p>
    <w:p w14:paraId="35952390" w14:textId="77777777" w:rsidR="008B0529" w:rsidRDefault="0053435C" w:rsidP="0053435C">
      <w:pPr>
        <w:pStyle w:val="Heading1"/>
        <w:ind w:left="567" w:hanging="567"/>
      </w:pPr>
      <w:r>
        <w:t>Conclusion</w:t>
      </w:r>
    </w:p>
    <w:p w14:paraId="35952391" w14:textId="6E159AB6" w:rsidR="008B0529" w:rsidRDefault="0053435C" w:rsidP="008B0529">
      <w:r>
        <w:t>The following observations and proposals were made in this contribution</w:t>
      </w:r>
    </w:p>
    <w:bookmarkStart w:id="18" w:name="_GoBack"/>
    <w:p w14:paraId="4DDD3745" w14:textId="4408B6ED" w:rsidR="009F5039" w:rsidRPr="009F5039" w:rsidRDefault="009F5039" w:rsidP="008B0529">
      <w:pPr>
        <w:rPr>
          <w:b/>
        </w:rPr>
      </w:pPr>
      <w:r w:rsidRPr="009F5039">
        <w:rPr>
          <w:b/>
        </w:rPr>
        <w:fldChar w:fldCharType="begin"/>
      </w:r>
      <w:r w:rsidRPr="009F5039">
        <w:rPr>
          <w:b/>
        </w:rPr>
        <w:instrText xml:space="preserve"> REF _Ref23777871 \h </w:instrText>
      </w:r>
      <w:r>
        <w:rPr>
          <w:b/>
        </w:rPr>
        <w:instrText xml:space="preserve"> \* MERGEFORMAT </w:instrText>
      </w:r>
      <w:r w:rsidRPr="009F5039">
        <w:rPr>
          <w:b/>
        </w:rPr>
      </w:r>
      <w:r w:rsidRPr="009F5039">
        <w:rPr>
          <w:b/>
        </w:rPr>
        <w:fldChar w:fldCharType="separate"/>
      </w:r>
      <w:r w:rsidRPr="009F5039">
        <w:rPr>
          <w:b/>
        </w:rPr>
        <w:t xml:space="preserve">Observation </w:t>
      </w:r>
      <w:r w:rsidRPr="009F5039">
        <w:rPr>
          <w:b/>
          <w:noProof/>
        </w:rPr>
        <w:t>1</w:t>
      </w:r>
      <w:r w:rsidRPr="009F5039">
        <w:rPr>
          <w:b/>
        </w:rPr>
        <w:t>: The 15cm quiet zone is insufficient for common LTE smartphones.</w:t>
      </w:r>
      <w:r w:rsidRPr="009F5039">
        <w:rPr>
          <w:b/>
        </w:rPr>
        <w:fldChar w:fldCharType="end"/>
      </w:r>
    </w:p>
    <w:bookmarkEnd w:id="18"/>
    <w:p w14:paraId="253D4444" w14:textId="770805EF" w:rsidR="009F5039" w:rsidRDefault="009F5039" w:rsidP="008B0529">
      <w:pPr>
        <w:rPr>
          <w:b/>
        </w:rPr>
      </w:pPr>
      <w:r w:rsidRPr="009F5039">
        <w:rPr>
          <w:b/>
        </w:rPr>
        <w:fldChar w:fldCharType="begin"/>
      </w:r>
      <w:r w:rsidRPr="009F5039">
        <w:rPr>
          <w:b/>
        </w:rPr>
        <w:instrText xml:space="preserve"> REF _Ref23777877 \h </w:instrText>
      </w:r>
      <w:r>
        <w:rPr>
          <w:b/>
        </w:rPr>
        <w:instrText xml:space="preserve"> \* MERGEFORMAT </w:instrText>
      </w:r>
      <w:r w:rsidRPr="009F5039">
        <w:rPr>
          <w:b/>
        </w:rPr>
      </w:r>
      <w:r w:rsidRPr="009F5039">
        <w:rPr>
          <w:b/>
        </w:rPr>
        <w:fldChar w:fldCharType="separate"/>
      </w:r>
      <w:r w:rsidRPr="009F5039">
        <w:rPr>
          <w:b/>
        </w:rPr>
        <w:t xml:space="preserve">Observation </w:t>
      </w:r>
      <w:r w:rsidRPr="009F5039">
        <w:rPr>
          <w:b/>
          <w:noProof/>
        </w:rPr>
        <w:t>2</w:t>
      </w:r>
      <w:r w:rsidRPr="009F5039">
        <w:rPr>
          <w:b/>
        </w:rPr>
        <w:t xml:space="preserve">: The 15cm Quality of Quiet Zone MUs (in DUT measurement and range reference stage) are greater than the 30cm </w:t>
      </w:r>
      <w:proofErr w:type="spellStart"/>
      <w:r w:rsidRPr="009F5039">
        <w:rPr>
          <w:b/>
        </w:rPr>
        <w:t>MUs.</w:t>
      </w:r>
      <w:proofErr w:type="spellEnd"/>
      <w:r w:rsidRPr="009F5039">
        <w:rPr>
          <w:b/>
        </w:rPr>
        <w:fldChar w:fldCharType="end"/>
      </w:r>
    </w:p>
    <w:p w14:paraId="09D8A58D" w14:textId="4EDC7C8C" w:rsidR="006A3A3D" w:rsidRPr="006A3A3D" w:rsidRDefault="006A3A3D" w:rsidP="008B0529">
      <w:pPr>
        <w:rPr>
          <w:b/>
        </w:rPr>
      </w:pPr>
      <w:r w:rsidRPr="006A3A3D">
        <w:rPr>
          <w:b/>
        </w:rPr>
        <w:lastRenderedPageBreak/>
        <w:fldChar w:fldCharType="begin"/>
      </w:r>
      <w:r w:rsidRPr="006A3A3D">
        <w:rPr>
          <w:b/>
        </w:rPr>
        <w:instrText xml:space="preserve"> REF _Ref24108166 \h </w:instrText>
      </w:r>
      <w:r w:rsidRPr="006A3A3D">
        <w:rPr>
          <w:b/>
        </w:rPr>
      </w:r>
      <w:r w:rsidRPr="006A3A3D">
        <w:rPr>
          <w:b/>
        </w:rPr>
        <w:instrText xml:space="preserve"> \* MERGEFORMAT </w:instrText>
      </w:r>
      <w:r w:rsidRPr="006A3A3D">
        <w:rPr>
          <w:b/>
        </w:rPr>
        <w:fldChar w:fldCharType="separate"/>
      </w:r>
      <w:r w:rsidRPr="006A3A3D">
        <w:rPr>
          <w:b/>
        </w:rPr>
        <w:t xml:space="preserve">Observation </w:t>
      </w:r>
      <w:r w:rsidRPr="006A3A3D">
        <w:rPr>
          <w:b/>
          <w:noProof/>
        </w:rPr>
        <w:t>3</w:t>
      </w:r>
      <w:r w:rsidRPr="006A3A3D">
        <w:rPr>
          <w:b/>
        </w:rPr>
        <w:t>: OTA testing with phantoms reflects more realistic conditions and RAN4 has already expressed interest in defining requirements using phantoms</w:t>
      </w:r>
      <w:r w:rsidRPr="006A3A3D">
        <w:rPr>
          <w:b/>
        </w:rPr>
        <w:fldChar w:fldCharType="end"/>
      </w:r>
    </w:p>
    <w:p w14:paraId="327E8F79" w14:textId="28DE9CFA" w:rsidR="009F5039" w:rsidRPr="009F5039" w:rsidRDefault="009F5039" w:rsidP="008B0529">
      <w:pPr>
        <w:rPr>
          <w:b/>
        </w:rPr>
      </w:pPr>
      <w:r w:rsidRPr="009F5039">
        <w:rPr>
          <w:b/>
        </w:rPr>
        <w:fldChar w:fldCharType="begin"/>
      </w:r>
      <w:r w:rsidRPr="009F5039">
        <w:rPr>
          <w:b/>
        </w:rPr>
        <w:instrText xml:space="preserve"> REF _Ref19796520 \h </w:instrText>
      </w:r>
      <w:r>
        <w:rPr>
          <w:b/>
        </w:rPr>
        <w:instrText xml:space="preserve"> \* MERGEFORMAT </w:instrText>
      </w:r>
      <w:r w:rsidRPr="009F5039">
        <w:rPr>
          <w:b/>
        </w:rPr>
      </w:r>
      <w:r w:rsidRPr="009F5039">
        <w:rPr>
          <w:b/>
        </w:rPr>
        <w:fldChar w:fldCharType="separate"/>
      </w:r>
      <w:r w:rsidR="0047476D" w:rsidRPr="0047476D">
        <w:rPr>
          <w:b/>
        </w:rPr>
        <w:t xml:space="preserve">Proposal </w:t>
      </w:r>
      <w:r w:rsidR="0047476D" w:rsidRPr="0047476D">
        <w:rPr>
          <w:b/>
          <w:noProof/>
        </w:rPr>
        <w:t>1</w:t>
      </w:r>
      <w:r w:rsidR="0047476D" w:rsidRPr="0047476D">
        <w:rPr>
          <w:b/>
        </w:rPr>
        <w:t>: Abandon the 15cm quiet zone for PC3 smartphones and handsets and focus only on the 30cm quiet zone for smartphone UEs and handhelds.</w:t>
      </w:r>
      <w:r w:rsidRPr="009F5039">
        <w:rPr>
          <w:b/>
        </w:rPr>
        <w:fldChar w:fldCharType="end"/>
      </w:r>
    </w:p>
    <w:p w14:paraId="35952392" w14:textId="77777777" w:rsidR="00DD1C07" w:rsidRDefault="00DD1C07" w:rsidP="00DD1C07">
      <w:pPr>
        <w:pStyle w:val="Heading1"/>
        <w:ind w:left="567" w:hanging="567"/>
      </w:pPr>
      <w:r>
        <w:t>References</w:t>
      </w:r>
    </w:p>
    <w:p w14:paraId="38EE04EA" w14:textId="106C78A7" w:rsidR="00042F2A" w:rsidRPr="00195499" w:rsidRDefault="009E196D" w:rsidP="00195499">
      <w:pPr>
        <w:numPr>
          <w:ilvl w:val="0"/>
          <w:numId w:val="5"/>
        </w:numPr>
        <w:tabs>
          <w:tab w:val="left" w:pos="426"/>
        </w:tabs>
        <w:overflowPunct w:val="0"/>
        <w:autoSpaceDE w:val="0"/>
        <w:autoSpaceDN w:val="0"/>
        <w:adjustRightInd w:val="0"/>
        <w:textAlignment w:val="baseline"/>
        <w:rPr>
          <w:rFonts w:cs="Arial"/>
        </w:rPr>
      </w:pPr>
      <w:bookmarkStart w:id="19" w:name="_Ref23775456"/>
      <w:bookmarkStart w:id="20" w:name="_Ref19279176"/>
      <w:bookmarkStart w:id="21" w:name="_Ref19279101"/>
      <w:r w:rsidRPr="00195499">
        <w:rPr>
          <w:rFonts w:cs="Arial"/>
        </w:rPr>
        <w:t xml:space="preserve">R4-1912097, </w:t>
      </w:r>
      <w:r w:rsidR="00F35974" w:rsidRPr="00195499">
        <w:rPr>
          <w:rFonts w:cs="Arial"/>
        </w:rPr>
        <w:t xml:space="preserve">On Quiet Zone Sizes for PC3 Devices, Keysight Technologies, </w:t>
      </w:r>
      <w:r w:rsidR="00195499" w:rsidRPr="00195499">
        <w:rPr>
          <w:rFonts w:cs="Arial"/>
        </w:rPr>
        <w:t>3GPP TSG-RAN WG4 #92bis, October 2019</w:t>
      </w:r>
      <w:bookmarkEnd w:id="19"/>
    </w:p>
    <w:p w14:paraId="66E9FB5D" w14:textId="41BADE46" w:rsidR="000E1854" w:rsidRPr="00195499" w:rsidRDefault="000E1854" w:rsidP="00195499">
      <w:pPr>
        <w:numPr>
          <w:ilvl w:val="0"/>
          <w:numId w:val="5"/>
        </w:numPr>
        <w:tabs>
          <w:tab w:val="left" w:pos="426"/>
        </w:tabs>
        <w:overflowPunct w:val="0"/>
        <w:autoSpaceDE w:val="0"/>
        <w:autoSpaceDN w:val="0"/>
        <w:adjustRightInd w:val="0"/>
        <w:textAlignment w:val="baseline"/>
        <w:rPr>
          <w:rFonts w:cs="Arial"/>
        </w:rPr>
      </w:pPr>
      <w:bookmarkStart w:id="22" w:name="_Ref23775575"/>
      <w:r w:rsidRPr="00195499">
        <w:rPr>
          <w:rFonts w:cs="Arial"/>
        </w:rPr>
        <w:t>TR38.810, Study on test methods, V16.3.0 (2019-06)</w:t>
      </w:r>
      <w:bookmarkEnd w:id="20"/>
      <w:bookmarkEnd w:id="22"/>
    </w:p>
    <w:p w14:paraId="395D073C" w14:textId="77777777" w:rsidR="000E1854" w:rsidRPr="00D3189E" w:rsidRDefault="000E1854" w:rsidP="000E1854">
      <w:pPr>
        <w:numPr>
          <w:ilvl w:val="0"/>
          <w:numId w:val="5"/>
        </w:numPr>
        <w:tabs>
          <w:tab w:val="left" w:pos="426"/>
        </w:tabs>
        <w:overflowPunct w:val="0"/>
        <w:autoSpaceDE w:val="0"/>
        <w:autoSpaceDN w:val="0"/>
        <w:adjustRightInd w:val="0"/>
        <w:textAlignment w:val="baseline"/>
        <w:rPr>
          <w:rFonts w:cs="Arial"/>
        </w:rPr>
      </w:pPr>
      <w:bookmarkStart w:id="23" w:name="_Ref19279177"/>
      <w:r w:rsidRPr="00D3189E">
        <w:rPr>
          <w:rFonts w:cs="Arial"/>
        </w:rPr>
        <w:t>TR 38.903, Derivation of test tolerances and measurement uncertainty for User Equipment (UE) conformance test cases, V16.0.0 (2019-06)</w:t>
      </w:r>
      <w:bookmarkEnd w:id="23"/>
    </w:p>
    <w:p w14:paraId="40EB6A94" w14:textId="77777777" w:rsidR="000E1854" w:rsidRPr="00D3189E" w:rsidRDefault="000E1854" w:rsidP="000E1854">
      <w:pPr>
        <w:numPr>
          <w:ilvl w:val="0"/>
          <w:numId w:val="5"/>
        </w:numPr>
        <w:tabs>
          <w:tab w:val="left" w:pos="426"/>
        </w:tabs>
        <w:overflowPunct w:val="0"/>
        <w:autoSpaceDE w:val="0"/>
        <w:autoSpaceDN w:val="0"/>
        <w:adjustRightInd w:val="0"/>
        <w:textAlignment w:val="baseline"/>
        <w:rPr>
          <w:rFonts w:cs="Arial"/>
        </w:rPr>
      </w:pPr>
      <w:bookmarkStart w:id="24" w:name="_Ref19279650"/>
      <w:bookmarkStart w:id="25" w:name="_Ref19279104"/>
      <w:bookmarkStart w:id="26" w:name="_Ref19279580"/>
      <w:r w:rsidRPr="00D3189E">
        <w:rPr>
          <w:rFonts w:cs="Arial"/>
        </w:rPr>
        <w:t>TR 38.827, Study on radiated metrics and test methodology for the verification of multi-antenna reception performance of NR User Equipment (UE), V1.0.0 (2019-05)</w:t>
      </w:r>
      <w:bookmarkEnd w:id="24"/>
    </w:p>
    <w:p w14:paraId="22648B2E" w14:textId="77777777" w:rsidR="000E1854" w:rsidRPr="00D3189E" w:rsidRDefault="000E1854" w:rsidP="000E1854">
      <w:pPr>
        <w:numPr>
          <w:ilvl w:val="0"/>
          <w:numId w:val="5"/>
        </w:numPr>
        <w:tabs>
          <w:tab w:val="left" w:pos="426"/>
        </w:tabs>
        <w:overflowPunct w:val="0"/>
        <w:autoSpaceDE w:val="0"/>
        <w:autoSpaceDN w:val="0"/>
        <w:adjustRightInd w:val="0"/>
        <w:textAlignment w:val="baseline"/>
        <w:rPr>
          <w:rFonts w:cs="Arial"/>
        </w:rPr>
      </w:pPr>
      <w:bookmarkStart w:id="27" w:name="_Ref19279702"/>
      <w:r w:rsidRPr="00D3189E">
        <w:rPr>
          <w:rFonts w:cs="Arial"/>
        </w:rPr>
        <w:t>Test Plan for Wireless Device Over-the-Air Performance, CTIA, Version 3.8.2, April 2019</w:t>
      </w:r>
      <w:bookmarkEnd w:id="25"/>
      <w:bookmarkEnd w:id="27"/>
    </w:p>
    <w:p w14:paraId="063C2E45" w14:textId="77777777" w:rsidR="000E1854" w:rsidRPr="00D3189E" w:rsidRDefault="000E1854" w:rsidP="000E1854">
      <w:pPr>
        <w:numPr>
          <w:ilvl w:val="0"/>
          <w:numId w:val="5"/>
        </w:numPr>
        <w:tabs>
          <w:tab w:val="left" w:pos="426"/>
        </w:tabs>
        <w:overflowPunct w:val="0"/>
        <w:autoSpaceDE w:val="0"/>
        <w:autoSpaceDN w:val="0"/>
        <w:adjustRightInd w:val="0"/>
        <w:textAlignment w:val="baseline"/>
        <w:rPr>
          <w:rFonts w:cs="Arial"/>
        </w:rPr>
      </w:pPr>
      <w:bookmarkStart w:id="28" w:name="_Ref19279614"/>
      <w:r w:rsidRPr="00D3189E">
        <w:rPr>
          <w:rFonts w:cs="Arial"/>
        </w:rPr>
        <w:t>Test Plan for 2x2 Downlink MIMO and Transmit Diversity Over-the-Air Performance, CTIA, Version 1.2, April 2018</w:t>
      </w:r>
      <w:bookmarkEnd w:id="21"/>
      <w:bookmarkEnd w:id="26"/>
      <w:bookmarkEnd w:id="28"/>
    </w:p>
    <w:p w14:paraId="4DC7B647" w14:textId="77777777" w:rsidR="000E1854" w:rsidRPr="00D3189E" w:rsidRDefault="000E1854" w:rsidP="000E1854">
      <w:pPr>
        <w:numPr>
          <w:ilvl w:val="0"/>
          <w:numId w:val="5"/>
        </w:numPr>
        <w:tabs>
          <w:tab w:val="left" w:pos="426"/>
        </w:tabs>
        <w:overflowPunct w:val="0"/>
        <w:autoSpaceDE w:val="0"/>
        <w:autoSpaceDN w:val="0"/>
        <w:adjustRightInd w:val="0"/>
        <w:textAlignment w:val="baseline"/>
        <w:rPr>
          <w:rFonts w:cs="Arial"/>
        </w:rPr>
      </w:pPr>
      <w:bookmarkStart w:id="29" w:name="_Ref19542703"/>
      <w:r w:rsidRPr="00D3189E">
        <w:rPr>
          <w:rFonts w:cs="Arial"/>
        </w:rPr>
        <w:t>R4-1710077, WF on NR MU and test tolerance, CATR, Intel Corporation, Keysight Technologies, Rohde &amp; Schwarz, Anritsu, 3GPP TSG-RAN WG4 Meeting NR#3, September 2017</w:t>
      </w:r>
      <w:bookmarkEnd w:id="29"/>
    </w:p>
    <w:p w14:paraId="01A897E4" w14:textId="77777777" w:rsidR="000E1854" w:rsidRDefault="000E1854" w:rsidP="000E1854">
      <w:pPr>
        <w:numPr>
          <w:ilvl w:val="0"/>
          <w:numId w:val="5"/>
        </w:numPr>
        <w:tabs>
          <w:tab w:val="left" w:pos="426"/>
        </w:tabs>
        <w:overflowPunct w:val="0"/>
        <w:autoSpaceDE w:val="0"/>
        <w:autoSpaceDN w:val="0"/>
        <w:adjustRightInd w:val="0"/>
        <w:textAlignment w:val="baseline"/>
        <w:rPr>
          <w:rFonts w:cs="Arial"/>
        </w:rPr>
      </w:pPr>
      <w:bookmarkStart w:id="30" w:name="_Ref19542997"/>
      <w:r w:rsidRPr="00D3189E">
        <w:rPr>
          <w:rFonts w:cs="Arial"/>
        </w:rPr>
        <w:t>R4-1904183, Proposals on NR MIMO OTA, CAICT, SAICT, 3GPP TSG-RAN WG4 Meeting #90bis, April 2019</w:t>
      </w:r>
      <w:bookmarkEnd w:id="30"/>
    </w:p>
    <w:p w14:paraId="50DC7C24" w14:textId="77777777" w:rsidR="00D75439" w:rsidRPr="00D75439" w:rsidRDefault="00D75439" w:rsidP="00D75439">
      <w:pPr>
        <w:pStyle w:val="ListParagraph"/>
        <w:numPr>
          <w:ilvl w:val="0"/>
          <w:numId w:val="5"/>
        </w:numPr>
        <w:rPr>
          <w:rFonts w:ascii="Times New Roman" w:eastAsia="Malgun Gothic" w:hAnsi="Times New Roman" w:cs="Arial"/>
          <w:sz w:val="20"/>
          <w:szCs w:val="20"/>
          <w:lang w:val="en-GB"/>
        </w:rPr>
      </w:pPr>
      <w:bookmarkStart w:id="31" w:name="_Ref23776062"/>
      <w:r w:rsidRPr="00D75439">
        <w:rPr>
          <w:rFonts w:ascii="Times New Roman" w:eastAsia="Malgun Gothic" w:hAnsi="Times New Roman" w:cs="Arial"/>
          <w:sz w:val="20"/>
          <w:szCs w:val="20"/>
          <w:lang w:val="en-GB"/>
        </w:rPr>
        <w:t>TS 38.521-2, User Equipment (UE) conformance specification; Radio transmission and reception; Part 2: Range 2 Standalone, V16.10 (2019-09)</w:t>
      </w:r>
      <w:bookmarkEnd w:id="31"/>
    </w:p>
    <w:p w14:paraId="5C3AAA89" w14:textId="17D0100B" w:rsidR="000E1854" w:rsidRDefault="002F13D9" w:rsidP="000E1854">
      <w:pPr>
        <w:numPr>
          <w:ilvl w:val="0"/>
          <w:numId w:val="5"/>
        </w:numPr>
        <w:tabs>
          <w:tab w:val="left" w:pos="426"/>
        </w:tabs>
        <w:overflowPunct w:val="0"/>
        <w:autoSpaceDE w:val="0"/>
        <w:autoSpaceDN w:val="0"/>
        <w:adjustRightInd w:val="0"/>
        <w:textAlignment w:val="baseline"/>
        <w:rPr>
          <w:rFonts w:cs="Arial"/>
        </w:rPr>
      </w:pPr>
      <w:bookmarkStart w:id="32" w:name="_Ref22801604"/>
      <w:r w:rsidRPr="002F13D9">
        <w:rPr>
          <w:rFonts w:cs="Arial"/>
        </w:rPr>
        <w:tab/>
        <w:t>R5-185955</w:t>
      </w:r>
      <w:r w:rsidR="000E1854">
        <w:rPr>
          <w:rFonts w:cs="Arial"/>
        </w:rPr>
        <w:t xml:space="preserve">, </w:t>
      </w:r>
      <w:r w:rsidR="004118D5" w:rsidRPr="004118D5">
        <w:rPr>
          <w:rFonts w:cs="Arial"/>
        </w:rPr>
        <w:t>Quality of Quiet Zone Results for IFF and 15cm Quiet Zone</w:t>
      </w:r>
      <w:r w:rsidR="000E1854">
        <w:rPr>
          <w:rFonts w:cs="Arial"/>
        </w:rPr>
        <w:t>, Keysight Technologies</w:t>
      </w:r>
      <w:bookmarkEnd w:id="32"/>
      <w:r w:rsidR="00262604">
        <w:rPr>
          <w:rFonts w:cs="Arial"/>
        </w:rPr>
        <w:t xml:space="preserve">, </w:t>
      </w:r>
      <w:r w:rsidR="00262604" w:rsidRPr="00262604">
        <w:rPr>
          <w:rFonts w:cs="Arial"/>
        </w:rPr>
        <w:t xml:space="preserve">3GPPRAN5#3-5G-NR </w:t>
      </w:r>
      <w:proofErr w:type="spellStart"/>
      <w:r w:rsidR="00262604" w:rsidRPr="00262604">
        <w:rPr>
          <w:rFonts w:cs="Arial"/>
        </w:rPr>
        <w:t>Adhoc</w:t>
      </w:r>
      <w:proofErr w:type="spellEnd"/>
      <w:r w:rsidR="00262604">
        <w:rPr>
          <w:rFonts w:cs="Arial"/>
        </w:rPr>
        <w:t>, October 2018</w:t>
      </w:r>
    </w:p>
    <w:p w14:paraId="240424FA" w14:textId="73C789F2" w:rsidR="00262604" w:rsidRDefault="007A5D30" w:rsidP="000E1854">
      <w:pPr>
        <w:numPr>
          <w:ilvl w:val="0"/>
          <w:numId w:val="5"/>
        </w:numPr>
        <w:tabs>
          <w:tab w:val="left" w:pos="426"/>
        </w:tabs>
        <w:overflowPunct w:val="0"/>
        <w:autoSpaceDE w:val="0"/>
        <w:autoSpaceDN w:val="0"/>
        <w:adjustRightInd w:val="0"/>
        <w:textAlignment w:val="baseline"/>
        <w:rPr>
          <w:rFonts w:cs="Arial"/>
        </w:rPr>
      </w:pPr>
      <w:bookmarkStart w:id="33" w:name="_Ref23776981"/>
      <w:r w:rsidRPr="002F13D9">
        <w:rPr>
          <w:rFonts w:cs="Arial"/>
        </w:rPr>
        <w:t>R5-18595</w:t>
      </w:r>
      <w:r w:rsidR="00D65386">
        <w:rPr>
          <w:rFonts w:cs="Arial"/>
        </w:rPr>
        <w:t>6</w:t>
      </w:r>
      <w:r>
        <w:rPr>
          <w:rFonts w:cs="Arial"/>
        </w:rPr>
        <w:t xml:space="preserve">, </w:t>
      </w:r>
      <w:r w:rsidRPr="004118D5">
        <w:rPr>
          <w:rFonts w:cs="Arial"/>
        </w:rPr>
        <w:t xml:space="preserve">Quality of Quiet Zone Results for IFF and </w:t>
      </w:r>
      <w:r>
        <w:rPr>
          <w:rFonts w:cs="Arial"/>
        </w:rPr>
        <w:t>30</w:t>
      </w:r>
      <w:r w:rsidRPr="004118D5">
        <w:rPr>
          <w:rFonts w:cs="Arial"/>
        </w:rPr>
        <w:t>cm Quiet Zone</w:t>
      </w:r>
      <w:r>
        <w:rPr>
          <w:rFonts w:cs="Arial"/>
        </w:rPr>
        <w:t xml:space="preserve">, Keysight Technologies, </w:t>
      </w:r>
      <w:r w:rsidRPr="00262604">
        <w:rPr>
          <w:rFonts w:cs="Arial"/>
        </w:rPr>
        <w:t xml:space="preserve">3GPPRAN5#3-5G-NR </w:t>
      </w:r>
      <w:proofErr w:type="spellStart"/>
      <w:r w:rsidRPr="00262604">
        <w:rPr>
          <w:rFonts w:cs="Arial"/>
        </w:rPr>
        <w:t>Adhoc</w:t>
      </w:r>
      <w:proofErr w:type="spellEnd"/>
      <w:r>
        <w:rPr>
          <w:rFonts w:cs="Arial"/>
        </w:rPr>
        <w:t>, October 2018</w:t>
      </w:r>
      <w:bookmarkEnd w:id="33"/>
    </w:p>
    <w:p w14:paraId="664C1D79" w14:textId="77777777" w:rsidR="00670D74" w:rsidRDefault="0014242A" w:rsidP="000E1854">
      <w:pPr>
        <w:numPr>
          <w:ilvl w:val="0"/>
          <w:numId w:val="5"/>
        </w:numPr>
        <w:tabs>
          <w:tab w:val="left" w:pos="426"/>
        </w:tabs>
        <w:overflowPunct w:val="0"/>
        <w:autoSpaceDE w:val="0"/>
        <w:autoSpaceDN w:val="0"/>
        <w:adjustRightInd w:val="0"/>
        <w:textAlignment w:val="baseline"/>
        <w:rPr>
          <w:rFonts w:cs="Arial"/>
        </w:rPr>
      </w:pPr>
      <w:bookmarkStart w:id="34" w:name="_Ref23777748"/>
      <w:r w:rsidRPr="0014242A">
        <w:rPr>
          <w:rFonts w:cs="Arial"/>
        </w:rPr>
        <w:t>TR 38.903, Derivation of test tolerances and measurement uncertainty for User Equipment (UE) conformance test cases, V16.0.0 (2019-06)</w:t>
      </w:r>
      <w:bookmarkEnd w:id="34"/>
    </w:p>
    <w:p w14:paraId="7D2747B7" w14:textId="10FD73B2" w:rsidR="000E1854" w:rsidRPr="00A14015" w:rsidRDefault="000E1854" w:rsidP="000E1854">
      <w:pPr>
        <w:numPr>
          <w:ilvl w:val="0"/>
          <w:numId w:val="5"/>
        </w:numPr>
        <w:tabs>
          <w:tab w:val="left" w:pos="426"/>
        </w:tabs>
        <w:overflowPunct w:val="0"/>
        <w:autoSpaceDE w:val="0"/>
        <w:autoSpaceDN w:val="0"/>
        <w:adjustRightInd w:val="0"/>
        <w:textAlignment w:val="baseline"/>
        <w:rPr>
          <w:rFonts w:cs="Arial"/>
        </w:rPr>
      </w:pPr>
      <w:bookmarkStart w:id="35" w:name="_Ref23777819"/>
      <w:r w:rsidRPr="00D845DE">
        <w:rPr>
          <w:rFonts w:cs="Arial"/>
        </w:rPr>
        <w:t>R5-197498</w:t>
      </w:r>
      <w:r>
        <w:rPr>
          <w:rFonts w:cs="Arial"/>
        </w:rPr>
        <w:t xml:space="preserve">, </w:t>
      </w:r>
      <w:r w:rsidRPr="00031F32">
        <w:rPr>
          <w:rFonts w:cs="Arial"/>
        </w:rPr>
        <w:t>Discussion on Quiet Zone sizes and measurement uncertainties</w:t>
      </w:r>
      <w:r>
        <w:rPr>
          <w:rFonts w:cs="Arial"/>
        </w:rPr>
        <w:t xml:space="preserve">, </w:t>
      </w:r>
      <w:r w:rsidRPr="00A14015">
        <w:rPr>
          <w:rFonts w:cs="Arial"/>
        </w:rPr>
        <w:t>Rohde &amp; Schwarz</w:t>
      </w:r>
      <w:r>
        <w:rPr>
          <w:rFonts w:cs="Arial"/>
        </w:rPr>
        <w:t xml:space="preserve">, </w:t>
      </w:r>
      <w:r w:rsidRPr="00562E1B">
        <w:rPr>
          <w:rFonts w:cs="Arial"/>
        </w:rPr>
        <w:t>3GPP TSG RAN WG5 Meeting #84</w:t>
      </w:r>
      <w:r>
        <w:rPr>
          <w:rFonts w:cs="Arial"/>
        </w:rPr>
        <w:t>, August 2019</w:t>
      </w:r>
      <w:bookmarkEnd w:id="35"/>
    </w:p>
    <w:p w14:paraId="66F739EE" w14:textId="77777777" w:rsidR="000E1854" w:rsidRDefault="000E1854" w:rsidP="000E1854">
      <w:pPr>
        <w:numPr>
          <w:ilvl w:val="0"/>
          <w:numId w:val="5"/>
        </w:numPr>
        <w:tabs>
          <w:tab w:val="left" w:pos="426"/>
        </w:tabs>
        <w:overflowPunct w:val="0"/>
        <w:autoSpaceDE w:val="0"/>
        <w:autoSpaceDN w:val="0"/>
        <w:adjustRightInd w:val="0"/>
        <w:textAlignment w:val="baseline"/>
        <w:rPr>
          <w:rFonts w:cs="Arial"/>
        </w:rPr>
      </w:pPr>
      <w:bookmarkStart w:id="36" w:name="_Ref22802865"/>
      <w:r w:rsidRPr="009E246A">
        <w:rPr>
          <w:rFonts w:cs="Arial"/>
        </w:rPr>
        <w:t>R5-197501</w:t>
      </w:r>
      <w:r>
        <w:rPr>
          <w:rFonts w:cs="Arial"/>
        </w:rPr>
        <w:t xml:space="preserve">, </w:t>
      </w:r>
      <w:r w:rsidRPr="005B7ECB">
        <w:rPr>
          <w:rFonts w:cs="Arial"/>
        </w:rPr>
        <w:t>Update of FR2 MUs in TS 38.521-2</w:t>
      </w:r>
      <w:r>
        <w:rPr>
          <w:rFonts w:cs="Arial"/>
        </w:rPr>
        <w:t xml:space="preserve">, </w:t>
      </w:r>
      <w:r w:rsidRPr="00A14015">
        <w:rPr>
          <w:rFonts w:cs="Arial"/>
        </w:rPr>
        <w:t>Rohde &amp; Schwarz</w:t>
      </w:r>
      <w:r>
        <w:rPr>
          <w:rFonts w:cs="Arial"/>
        </w:rPr>
        <w:t xml:space="preserve">, </w:t>
      </w:r>
      <w:r w:rsidRPr="00562E1B">
        <w:rPr>
          <w:rFonts w:cs="Arial"/>
        </w:rPr>
        <w:t>3GPP TSG RAN WG5 Meeting #84</w:t>
      </w:r>
      <w:r>
        <w:rPr>
          <w:rFonts w:cs="Arial"/>
        </w:rPr>
        <w:t>, August 2019</w:t>
      </w:r>
      <w:bookmarkEnd w:id="36"/>
    </w:p>
    <w:p w14:paraId="156F15E2" w14:textId="08D91875" w:rsidR="00270B4E" w:rsidRDefault="00270B4E" w:rsidP="000E1854">
      <w:pPr>
        <w:numPr>
          <w:ilvl w:val="0"/>
          <w:numId w:val="5"/>
        </w:numPr>
        <w:tabs>
          <w:tab w:val="left" w:pos="426"/>
        </w:tabs>
        <w:overflowPunct w:val="0"/>
        <w:autoSpaceDE w:val="0"/>
        <w:autoSpaceDN w:val="0"/>
        <w:adjustRightInd w:val="0"/>
        <w:textAlignment w:val="baseline"/>
        <w:rPr>
          <w:rFonts w:cs="Arial"/>
        </w:rPr>
      </w:pPr>
      <w:bookmarkStart w:id="37" w:name="_Ref23777389"/>
      <w:bookmarkStart w:id="38" w:name="_Ref22812305"/>
      <w:r w:rsidRPr="00270B4E">
        <w:rPr>
          <w:rFonts w:cs="Arial"/>
        </w:rPr>
        <w:t>5GmmW190903</w:t>
      </w:r>
      <w:r>
        <w:rPr>
          <w:rFonts w:cs="Arial"/>
        </w:rPr>
        <w:t>_R1</w:t>
      </w:r>
      <w:r w:rsidR="006A6EC7">
        <w:rPr>
          <w:rFonts w:cs="Arial"/>
        </w:rPr>
        <w:t xml:space="preserve">*, </w:t>
      </w:r>
      <w:r w:rsidR="006A6EC7" w:rsidRPr="006A6EC7">
        <w:rPr>
          <w:rFonts w:cs="Arial"/>
        </w:rPr>
        <w:t>On 15cm Quiet Zone</w:t>
      </w:r>
      <w:r w:rsidR="006A6EC7">
        <w:rPr>
          <w:rFonts w:cs="Arial"/>
        </w:rPr>
        <w:t>, Keysight Technologies</w:t>
      </w:r>
      <w:bookmarkEnd w:id="37"/>
    </w:p>
    <w:p w14:paraId="0B8C0105" w14:textId="132DA31C" w:rsidR="00A477D7" w:rsidRDefault="00C8019C" w:rsidP="000E1854">
      <w:pPr>
        <w:numPr>
          <w:ilvl w:val="0"/>
          <w:numId w:val="5"/>
        </w:numPr>
        <w:tabs>
          <w:tab w:val="left" w:pos="426"/>
        </w:tabs>
        <w:overflowPunct w:val="0"/>
        <w:autoSpaceDE w:val="0"/>
        <w:autoSpaceDN w:val="0"/>
        <w:adjustRightInd w:val="0"/>
        <w:textAlignment w:val="baseline"/>
        <w:rPr>
          <w:rFonts w:cs="Arial"/>
        </w:rPr>
      </w:pPr>
      <w:bookmarkStart w:id="39" w:name="_Ref24088794"/>
      <w:r w:rsidRPr="00C8019C">
        <w:rPr>
          <w:rFonts w:cs="Arial"/>
        </w:rPr>
        <w:t xml:space="preserve">TS 34.114, User Equipment (UE) / Mobile Station (MS) Over </w:t>
      </w:r>
      <w:proofErr w:type="gramStart"/>
      <w:r w:rsidRPr="00C8019C">
        <w:rPr>
          <w:rFonts w:cs="Arial"/>
        </w:rPr>
        <w:t>The</w:t>
      </w:r>
      <w:proofErr w:type="gramEnd"/>
      <w:r w:rsidRPr="00C8019C">
        <w:rPr>
          <w:rFonts w:cs="Arial"/>
        </w:rPr>
        <w:t xml:space="preserve"> Air (OTA) antenna performance; Conformance testing, V12.2.0 (2016-09)</w:t>
      </w:r>
      <w:bookmarkEnd w:id="39"/>
    </w:p>
    <w:p w14:paraId="69617B9A" w14:textId="0AA87AE4" w:rsidR="00324952" w:rsidRDefault="00324952" w:rsidP="00105D7B">
      <w:pPr>
        <w:numPr>
          <w:ilvl w:val="0"/>
          <w:numId w:val="5"/>
        </w:numPr>
        <w:tabs>
          <w:tab w:val="left" w:pos="426"/>
        </w:tabs>
        <w:overflowPunct w:val="0"/>
        <w:autoSpaceDE w:val="0"/>
        <w:autoSpaceDN w:val="0"/>
        <w:adjustRightInd w:val="0"/>
        <w:textAlignment w:val="baseline"/>
        <w:rPr>
          <w:rFonts w:cs="Arial"/>
        </w:rPr>
      </w:pPr>
      <w:bookmarkStart w:id="40" w:name="_Ref24088796"/>
      <w:r w:rsidRPr="00324952">
        <w:rPr>
          <w:rFonts w:cs="Arial"/>
        </w:rPr>
        <w:t xml:space="preserve">TS 37.544, Universal Terrestrial Radio Access (UTRA) and Evolved Universal Terrestrial Radio Access (E-UTRA); User Equipment (UE) Over </w:t>
      </w:r>
      <w:proofErr w:type="gramStart"/>
      <w:r w:rsidRPr="00324952">
        <w:rPr>
          <w:rFonts w:cs="Arial"/>
        </w:rPr>
        <w:t>The</w:t>
      </w:r>
      <w:proofErr w:type="gramEnd"/>
      <w:r w:rsidRPr="00324952">
        <w:rPr>
          <w:rFonts w:cs="Arial"/>
        </w:rPr>
        <w:t xml:space="preserve"> Air (OTA) performance; Conformance testing, V14.7.0 (2018-12)</w:t>
      </w:r>
      <w:bookmarkEnd w:id="40"/>
    </w:p>
    <w:p w14:paraId="7C7F237D" w14:textId="45E3BD11" w:rsidR="00AA155B" w:rsidRPr="00324952" w:rsidRDefault="00AA155B" w:rsidP="00105D7B">
      <w:pPr>
        <w:numPr>
          <w:ilvl w:val="0"/>
          <w:numId w:val="5"/>
        </w:numPr>
        <w:tabs>
          <w:tab w:val="left" w:pos="426"/>
        </w:tabs>
        <w:overflowPunct w:val="0"/>
        <w:autoSpaceDE w:val="0"/>
        <w:autoSpaceDN w:val="0"/>
        <w:adjustRightInd w:val="0"/>
        <w:textAlignment w:val="baseline"/>
        <w:rPr>
          <w:rFonts w:cs="Arial"/>
        </w:rPr>
      </w:pPr>
      <w:bookmarkStart w:id="41" w:name="_Ref24089189"/>
      <w:r w:rsidRPr="00AA155B">
        <w:rPr>
          <w:rFonts w:cs="Arial"/>
        </w:rPr>
        <w:t>NFP191003</w:t>
      </w:r>
      <w:r w:rsidR="00105D7B">
        <w:rPr>
          <w:rFonts w:cs="Arial"/>
        </w:rPr>
        <w:t>*</w:t>
      </w:r>
      <w:r w:rsidR="009E5DA0">
        <w:rPr>
          <w:rFonts w:cs="Arial"/>
        </w:rPr>
        <w:t xml:space="preserve">, </w:t>
      </w:r>
      <w:r w:rsidR="00105D7B" w:rsidRPr="00105D7B">
        <w:rPr>
          <w:rFonts w:cs="Arial"/>
        </w:rPr>
        <w:t xml:space="preserve">Optimization of Performance as a Function of Head Weight &amp; Size vs Performance of the </w:t>
      </w:r>
      <w:proofErr w:type="spellStart"/>
      <w:r w:rsidR="00105D7B" w:rsidRPr="00105D7B">
        <w:rPr>
          <w:rFonts w:cs="Arial"/>
        </w:rPr>
        <w:t>mmWave</w:t>
      </w:r>
      <w:proofErr w:type="spellEnd"/>
      <w:r w:rsidR="00105D7B" w:rsidRPr="00105D7B">
        <w:rPr>
          <w:rFonts w:cs="Arial"/>
        </w:rPr>
        <w:t xml:space="preserve"> CTIA/IEC Head Phantom</w:t>
      </w:r>
      <w:r w:rsidR="00105D7B">
        <w:rPr>
          <w:rFonts w:cs="Arial"/>
        </w:rPr>
        <w:t xml:space="preserve">, </w:t>
      </w:r>
      <w:r w:rsidR="009E5DA0" w:rsidRPr="009E5DA0">
        <w:rPr>
          <w:rFonts w:cs="Arial"/>
        </w:rPr>
        <w:t>IT’IS Foundation</w:t>
      </w:r>
      <w:bookmarkEnd w:id="41"/>
    </w:p>
    <w:p w14:paraId="58D727E3" w14:textId="69686E80" w:rsidR="00324952" w:rsidRDefault="008E649E" w:rsidP="000E1854">
      <w:pPr>
        <w:numPr>
          <w:ilvl w:val="0"/>
          <w:numId w:val="5"/>
        </w:numPr>
        <w:tabs>
          <w:tab w:val="left" w:pos="426"/>
        </w:tabs>
        <w:overflowPunct w:val="0"/>
        <w:autoSpaceDE w:val="0"/>
        <w:autoSpaceDN w:val="0"/>
        <w:adjustRightInd w:val="0"/>
        <w:textAlignment w:val="baseline"/>
        <w:rPr>
          <w:rFonts w:cs="Arial"/>
        </w:rPr>
      </w:pPr>
      <w:bookmarkStart w:id="42" w:name="_Ref24089295"/>
      <w:r w:rsidRPr="008E649E">
        <w:rPr>
          <w:rFonts w:cs="Arial"/>
        </w:rPr>
        <w:t>R4-1808515</w:t>
      </w:r>
      <w:r w:rsidR="006122E5">
        <w:rPr>
          <w:rFonts w:cs="Arial"/>
        </w:rPr>
        <w:t xml:space="preserve">, </w:t>
      </w:r>
      <w:r w:rsidR="006122E5" w:rsidRPr="006122E5">
        <w:rPr>
          <w:rFonts w:cs="Arial"/>
        </w:rPr>
        <w:t>draft Response LS to CTIA on FR2 OTA Testing</w:t>
      </w:r>
      <w:r w:rsidR="00FE4D92">
        <w:rPr>
          <w:rFonts w:cs="Arial"/>
        </w:rPr>
        <w:t xml:space="preserve">, Rohde&amp;Schwarz, </w:t>
      </w:r>
      <w:r w:rsidR="00CE2E18" w:rsidRPr="00CE2E18">
        <w:rPr>
          <w:rFonts w:cs="Arial"/>
        </w:rPr>
        <w:t>3GPP TSG RAN WG4 Meeting #87</w:t>
      </w:r>
      <w:r w:rsidR="00CE2E18">
        <w:rPr>
          <w:rFonts w:cs="Arial"/>
        </w:rPr>
        <w:t>, May 2018</w:t>
      </w:r>
      <w:bookmarkEnd w:id="42"/>
    </w:p>
    <w:p w14:paraId="14DFC0DF" w14:textId="77777777" w:rsidR="000E1854" w:rsidRPr="00D3189E" w:rsidRDefault="000E1854" w:rsidP="000E1854">
      <w:pPr>
        <w:numPr>
          <w:ilvl w:val="0"/>
          <w:numId w:val="5"/>
        </w:numPr>
        <w:tabs>
          <w:tab w:val="left" w:pos="426"/>
        </w:tabs>
        <w:overflowPunct w:val="0"/>
        <w:autoSpaceDE w:val="0"/>
        <w:autoSpaceDN w:val="0"/>
        <w:adjustRightInd w:val="0"/>
        <w:textAlignment w:val="baseline"/>
        <w:rPr>
          <w:rFonts w:cs="Arial"/>
        </w:rPr>
      </w:pPr>
      <w:bookmarkStart w:id="43" w:name="_Ref22811590"/>
      <w:bookmarkEnd w:id="38"/>
      <w:r w:rsidRPr="007F7DE4">
        <w:rPr>
          <w:rFonts w:cs="Arial"/>
        </w:rPr>
        <w:t>R4-1911805</w:t>
      </w:r>
      <w:r>
        <w:rPr>
          <w:rFonts w:cs="Arial"/>
        </w:rPr>
        <w:t xml:space="preserve">, </w:t>
      </w:r>
      <w:r w:rsidRPr="00634984">
        <w:rPr>
          <w:rFonts w:cs="Arial"/>
        </w:rPr>
        <w:t>Draft CR to TR 38.810: Size of the Quiet Zone</w:t>
      </w:r>
      <w:r>
        <w:rPr>
          <w:rFonts w:cs="Arial"/>
        </w:rPr>
        <w:t xml:space="preserve">, Rohde &amp; Schwarz, </w:t>
      </w:r>
      <w:r w:rsidRPr="005E7267">
        <w:rPr>
          <w:rFonts w:cs="Arial"/>
        </w:rPr>
        <w:t>3GPP TSG-RAN4 Meeting #92-Bis</w:t>
      </w:r>
      <w:r>
        <w:rPr>
          <w:rFonts w:cs="Arial"/>
        </w:rPr>
        <w:t>, October 2019</w:t>
      </w:r>
      <w:bookmarkEnd w:id="43"/>
    </w:p>
    <w:p w14:paraId="35952393" w14:textId="58F8D312" w:rsidR="000547AB" w:rsidRPr="00052390" w:rsidRDefault="00267C0F" w:rsidP="00267C0F">
      <w:pPr>
        <w:tabs>
          <w:tab w:val="left" w:pos="426"/>
        </w:tabs>
        <w:overflowPunct w:val="0"/>
        <w:autoSpaceDE w:val="0"/>
        <w:autoSpaceDN w:val="0"/>
        <w:adjustRightInd w:val="0"/>
        <w:textAlignment w:val="baseline"/>
      </w:pPr>
      <w:r>
        <w:lastRenderedPageBreak/>
        <w:t xml:space="preserve">* </w:t>
      </w:r>
      <w:r w:rsidRPr="00AA1E1A">
        <w:t>This is a CTIA Sub-Working Group Document available to CTIA Sub-Working Group members</w:t>
      </w:r>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149AC" w14:textId="77777777" w:rsidR="0034474F" w:rsidRDefault="0034474F">
      <w:r>
        <w:separator/>
      </w:r>
    </w:p>
  </w:endnote>
  <w:endnote w:type="continuationSeparator" w:id="0">
    <w:p w14:paraId="0174CFCC" w14:textId="77777777" w:rsidR="0034474F" w:rsidRDefault="0034474F">
      <w:r>
        <w:continuationSeparator/>
      </w:r>
    </w:p>
  </w:endnote>
  <w:endnote w:type="continuationNotice" w:id="1">
    <w:p w14:paraId="38EDA0CE" w14:textId="77777777" w:rsidR="0034474F" w:rsidRDefault="00344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FD1C" w14:textId="77777777" w:rsidR="0034474F" w:rsidRDefault="0034474F">
      <w:r>
        <w:separator/>
      </w:r>
    </w:p>
  </w:footnote>
  <w:footnote w:type="continuationSeparator" w:id="0">
    <w:p w14:paraId="628C11F9" w14:textId="77777777" w:rsidR="0034474F" w:rsidRDefault="0034474F">
      <w:r>
        <w:continuationSeparator/>
      </w:r>
    </w:p>
  </w:footnote>
  <w:footnote w:type="continuationNotice" w:id="1">
    <w:p w14:paraId="69442B8D" w14:textId="77777777" w:rsidR="0034474F" w:rsidRDefault="003447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CC18A8"/>
    <w:multiLevelType w:val="hybridMultilevel"/>
    <w:tmpl w:val="27F6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53E15"/>
    <w:multiLevelType w:val="hybridMultilevel"/>
    <w:tmpl w:val="B9CC5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3"/>
  </w:num>
  <w:num w:numId="15">
    <w:abstractNumId w:val="11"/>
  </w:num>
  <w:num w:numId="16">
    <w:abstractNumId w:val="32"/>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6"/>
  </w:num>
  <w:num w:numId="32">
    <w:abstractNumId w:val="29"/>
  </w:num>
  <w:num w:numId="33">
    <w:abstractNumId w:val="35"/>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54E0"/>
    <w:rsid w:val="00036AF0"/>
    <w:rsid w:val="000379D6"/>
    <w:rsid w:val="00042F2A"/>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5DF8"/>
    <w:rsid w:val="00087F53"/>
    <w:rsid w:val="00093E7E"/>
    <w:rsid w:val="00096EE4"/>
    <w:rsid w:val="000A12C7"/>
    <w:rsid w:val="000A2A86"/>
    <w:rsid w:val="000A43B4"/>
    <w:rsid w:val="000B25D3"/>
    <w:rsid w:val="000C2440"/>
    <w:rsid w:val="000C3463"/>
    <w:rsid w:val="000C640F"/>
    <w:rsid w:val="000C78BC"/>
    <w:rsid w:val="000D39C6"/>
    <w:rsid w:val="000D6B69"/>
    <w:rsid w:val="000D6CFC"/>
    <w:rsid w:val="000E06B3"/>
    <w:rsid w:val="000E1854"/>
    <w:rsid w:val="000E24A4"/>
    <w:rsid w:val="00105D7B"/>
    <w:rsid w:val="00114DB9"/>
    <w:rsid w:val="001174D8"/>
    <w:rsid w:val="00120864"/>
    <w:rsid w:val="00121323"/>
    <w:rsid w:val="00122845"/>
    <w:rsid w:val="00124141"/>
    <w:rsid w:val="001258E2"/>
    <w:rsid w:val="0013001E"/>
    <w:rsid w:val="00130A4D"/>
    <w:rsid w:val="0014005E"/>
    <w:rsid w:val="00140084"/>
    <w:rsid w:val="0014206F"/>
    <w:rsid w:val="001423A1"/>
    <w:rsid w:val="0014242A"/>
    <w:rsid w:val="001430FC"/>
    <w:rsid w:val="001458A3"/>
    <w:rsid w:val="00150099"/>
    <w:rsid w:val="00152053"/>
    <w:rsid w:val="00152172"/>
    <w:rsid w:val="00153528"/>
    <w:rsid w:val="00157AD8"/>
    <w:rsid w:val="00166A36"/>
    <w:rsid w:val="001741AE"/>
    <w:rsid w:val="001758FB"/>
    <w:rsid w:val="00192DFC"/>
    <w:rsid w:val="00195499"/>
    <w:rsid w:val="00196F9F"/>
    <w:rsid w:val="001A08AA"/>
    <w:rsid w:val="001A17A5"/>
    <w:rsid w:val="001A2BC5"/>
    <w:rsid w:val="001A2EF9"/>
    <w:rsid w:val="001A3120"/>
    <w:rsid w:val="001A3BFA"/>
    <w:rsid w:val="001A76F3"/>
    <w:rsid w:val="001B2108"/>
    <w:rsid w:val="001B231F"/>
    <w:rsid w:val="001B6A72"/>
    <w:rsid w:val="001C00AA"/>
    <w:rsid w:val="001C0CFD"/>
    <w:rsid w:val="001C3A35"/>
    <w:rsid w:val="001C3CCB"/>
    <w:rsid w:val="001C4A15"/>
    <w:rsid w:val="001C687E"/>
    <w:rsid w:val="001C6D48"/>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604"/>
    <w:rsid w:val="00262A89"/>
    <w:rsid w:val="0026391C"/>
    <w:rsid w:val="00266C6B"/>
    <w:rsid w:val="0026709E"/>
    <w:rsid w:val="00267C0F"/>
    <w:rsid w:val="00267CC7"/>
    <w:rsid w:val="00270B4E"/>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13D9"/>
    <w:rsid w:val="002F4093"/>
    <w:rsid w:val="002F5FAD"/>
    <w:rsid w:val="00300544"/>
    <w:rsid w:val="003021CC"/>
    <w:rsid w:val="00306D8E"/>
    <w:rsid w:val="00307D2C"/>
    <w:rsid w:val="00313528"/>
    <w:rsid w:val="00317CB2"/>
    <w:rsid w:val="003209E5"/>
    <w:rsid w:val="00324952"/>
    <w:rsid w:val="00324F35"/>
    <w:rsid w:val="00326CFF"/>
    <w:rsid w:val="00331E19"/>
    <w:rsid w:val="00332820"/>
    <w:rsid w:val="003340C5"/>
    <w:rsid w:val="0033593B"/>
    <w:rsid w:val="00342EC7"/>
    <w:rsid w:val="00344657"/>
    <w:rsid w:val="0034474F"/>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4916"/>
    <w:rsid w:val="004118D5"/>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E49"/>
    <w:rsid w:val="00471B36"/>
    <w:rsid w:val="00473D9D"/>
    <w:rsid w:val="00474556"/>
    <w:rsid w:val="0047476D"/>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3B3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82D"/>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2E5"/>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3132"/>
    <w:rsid w:val="00665AD3"/>
    <w:rsid w:val="00670D74"/>
    <w:rsid w:val="00683EDA"/>
    <w:rsid w:val="006856E5"/>
    <w:rsid w:val="006937D0"/>
    <w:rsid w:val="00695755"/>
    <w:rsid w:val="00696BE5"/>
    <w:rsid w:val="00696D0A"/>
    <w:rsid w:val="006974B7"/>
    <w:rsid w:val="006A03F3"/>
    <w:rsid w:val="006A3A3D"/>
    <w:rsid w:val="006A5A2A"/>
    <w:rsid w:val="006A5ED0"/>
    <w:rsid w:val="006A6EC7"/>
    <w:rsid w:val="006B03F1"/>
    <w:rsid w:val="006B0D02"/>
    <w:rsid w:val="006B1343"/>
    <w:rsid w:val="006B1C2F"/>
    <w:rsid w:val="006B363D"/>
    <w:rsid w:val="006B39EF"/>
    <w:rsid w:val="006C3A94"/>
    <w:rsid w:val="006D132D"/>
    <w:rsid w:val="006D6435"/>
    <w:rsid w:val="006D6B1F"/>
    <w:rsid w:val="006E45D9"/>
    <w:rsid w:val="006E72CE"/>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13A2"/>
    <w:rsid w:val="007250C2"/>
    <w:rsid w:val="0072666A"/>
    <w:rsid w:val="00726FD4"/>
    <w:rsid w:val="00727352"/>
    <w:rsid w:val="00727593"/>
    <w:rsid w:val="00727A8D"/>
    <w:rsid w:val="00730547"/>
    <w:rsid w:val="00735C81"/>
    <w:rsid w:val="00736A17"/>
    <w:rsid w:val="007373B0"/>
    <w:rsid w:val="007403F2"/>
    <w:rsid w:val="00741775"/>
    <w:rsid w:val="00742BB5"/>
    <w:rsid w:val="00744CC1"/>
    <w:rsid w:val="007459C2"/>
    <w:rsid w:val="0074650E"/>
    <w:rsid w:val="00747AD4"/>
    <w:rsid w:val="00752FA3"/>
    <w:rsid w:val="007547B2"/>
    <w:rsid w:val="00761882"/>
    <w:rsid w:val="00770A12"/>
    <w:rsid w:val="00774B17"/>
    <w:rsid w:val="007756A1"/>
    <w:rsid w:val="0078088D"/>
    <w:rsid w:val="00785759"/>
    <w:rsid w:val="00785D03"/>
    <w:rsid w:val="007927CF"/>
    <w:rsid w:val="00797994"/>
    <w:rsid w:val="007A2502"/>
    <w:rsid w:val="007A4551"/>
    <w:rsid w:val="007A4F68"/>
    <w:rsid w:val="007A5139"/>
    <w:rsid w:val="007A5243"/>
    <w:rsid w:val="007A5D30"/>
    <w:rsid w:val="007A6059"/>
    <w:rsid w:val="007B03C6"/>
    <w:rsid w:val="007B0584"/>
    <w:rsid w:val="007B5856"/>
    <w:rsid w:val="007B6FFB"/>
    <w:rsid w:val="007C6687"/>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2C50"/>
    <w:rsid w:val="008142CC"/>
    <w:rsid w:val="00816C9D"/>
    <w:rsid w:val="0082033D"/>
    <w:rsid w:val="0082190B"/>
    <w:rsid w:val="00826B31"/>
    <w:rsid w:val="008278A2"/>
    <w:rsid w:val="00830BED"/>
    <w:rsid w:val="00833DC9"/>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471F"/>
    <w:rsid w:val="008B5C74"/>
    <w:rsid w:val="008C2308"/>
    <w:rsid w:val="008C60E9"/>
    <w:rsid w:val="008C7836"/>
    <w:rsid w:val="008D1291"/>
    <w:rsid w:val="008D7BED"/>
    <w:rsid w:val="008E3173"/>
    <w:rsid w:val="008E4413"/>
    <w:rsid w:val="008E4684"/>
    <w:rsid w:val="008E4F84"/>
    <w:rsid w:val="008E649E"/>
    <w:rsid w:val="008F08D9"/>
    <w:rsid w:val="008F1346"/>
    <w:rsid w:val="008F540C"/>
    <w:rsid w:val="008F7D93"/>
    <w:rsid w:val="0090512F"/>
    <w:rsid w:val="0090524D"/>
    <w:rsid w:val="009064E9"/>
    <w:rsid w:val="009076E4"/>
    <w:rsid w:val="00911B1A"/>
    <w:rsid w:val="00914733"/>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675A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196D"/>
    <w:rsid w:val="009E3840"/>
    <w:rsid w:val="009E41C5"/>
    <w:rsid w:val="009E448E"/>
    <w:rsid w:val="009E520A"/>
    <w:rsid w:val="009E5DA0"/>
    <w:rsid w:val="009E7AFD"/>
    <w:rsid w:val="009F20D3"/>
    <w:rsid w:val="009F2205"/>
    <w:rsid w:val="009F45E2"/>
    <w:rsid w:val="009F5039"/>
    <w:rsid w:val="00A003B8"/>
    <w:rsid w:val="00A02C57"/>
    <w:rsid w:val="00A059DA"/>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77D7"/>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3AEF"/>
    <w:rsid w:val="00A97CB6"/>
    <w:rsid w:val="00AA155B"/>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5A42"/>
    <w:rsid w:val="00B36208"/>
    <w:rsid w:val="00B3769C"/>
    <w:rsid w:val="00B40D30"/>
    <w:rsid w:val="00B426E8"/>
    <w:rsid w:val="00B42B91"/>
    <w:rsid w:val="00B478AC"/>
    <w:rsid w:val="00B53471"/>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2881"/>
    <w:rsid w:val="00BA47FD"/>
    <w:rsid w:val="00BA5EFD"/>
    <w:rsid w:val="00BB2B4D"/>
    <w:rsid w:val="00BB4346"/>
    <w:rsid w:val="00BB43B8"/>
    <w:rsid w:val="00BB53AC"/>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09F1"/>
    <w:rsid w:val="00C76F04"/>
    <w:rsid w:val="00C8019C"/>
    <w:rsid w:val="00C804C3"/>
    <w:rsid w:val="00C807DB"/>
    <w:rsid w:val="00C81268"/>
    <w:rsid w:val="00C83771"/>
    <w:rsid w:val="00C87851"/>
    <w:rsid w:val="00C93744"/>
    <w:rsid w:val="00C958F3"/>
    <w:rsid w:val="00CA3A27"/>
    <w:rsid w:val="00CA517A"/>
    <w:rsid w:val="00CB0D58"/>
    <w:rsid w:val="00CB1BD1"/>
    <w:rsid w:val="00CB29E4"/>
    <w:rsid w:val="00CB5BF2"/>
    <w:rsid w:val="00CC15A4"/>
    <w:rsid w:val="00CC28A9"/>
    <w:rsid w:val="00CC6580"/>
    <w:rsid w:val="00CC6FE0"/>
    <w:rsid w:val="00CE0386"/>
    <w:rsid w:val="00CE14C9"/>
    <w:rsid w:val="00CE2E18"/>
    <w:rsid w:val="00CF0031"/>
    <w:rsid w:val="00CF0C99"/>
    <w:rsid w:val="00CF46D3"/>
    <w:rsid w:val="00CF61F2"/>
    <w:rsid w:val="00D02F39"/>
    <w:rsid w:val="00D076FD"/>
    <w:rsid w:val="00D1118A"/>
    <w:rsid w:val="00D12CB8"/>
    <w:rsid w:val="00D16CE2"/>
    <w:rsid w:val="00D21245"/>
    <w:rsid w:val="00D21C9F"/>
    <w:rsid w:val="00D22BEB"/>
    <w:rsid w:val="00D26BF2"/>
    <w:rsid w:val="00D33C1E"/>
    <w:rsid w:val="00D37444"/>
    <w:rsid w:val="00D37A5A"/>
    <w:rsid w:val="00D402C2"/>
    <w:rsid w:val="00D45EB6"/>
    <w:rsid w:val="00D51A4E"/>
    <w:rsid w:val="00D520E4"/>
    <w:rsid w:val="00D54860"/>
    <w:rsid w:val="00D54AA0"/>
    <w:rsid w:val="00D54F08"/>
    <w:rsid w:val="00D55B87"/>
    <w:rsid w:val="00D567FB"/>
    <w:rsid w:val="00D57DFA"/>
    <w:rsid w:val="00D6215E"/>
    <w:rsid w:val="00D65386"/>
    <w:rsid w:val="00D70DBC"/>
    <w:rsid w:val="00D713D2"/>
    <w:rsid w:val="00D7306B"/>
    <w:rsid w:val="00D73201"/>
    <w:rsid w:val="00D73647"/>
    <w:rsid w:val="00D75439"/>
    <w:rsid w:val="00D8307F"/>
    <w:rsid w:val="00D8465F"/>
    <w:rsid w:val="00D85B5D"/>
    <w:rsid w:val="00D90F93"/>
    <w:rsid w:val="00D91F54"/>
    <w:rsid w:val="00D93835"/>
    <w:rsid w:val="00D93AE3"/>
    <w:rsid w:val="00D9442D"/>
    <w:rsid w:val="00D94F8B"/>
    <w:rsid w:val="00D95235"/>
    <w:rsid w:val="00D9763F"/>
    <w:rsid w:val="00DA66C3"/>
    <w:rsid w:val="00DB5E7F"/>
    <w:rsid w:val="00DB7F5D"/>
    <w:rsid w:val="00DC176A"/>
    <w:rsid w:val="00DD0C2C"/>
    <w:rsid w:val="00DD0F6E"/>
    <w:rsid w:val="00DD1C07"/>
    <w:rsid w:val="00DD4BF9"/>
    <w:rsid w:val="00DE0E3E"/>
    <w:rsid w:val="00DE2633"/>
    <w:rsid w:val="00DE77F5"/>
    <w:rsid w:val="00DE7F66"/>
    <w:rsid w:val="00DF1AE6"/>
    <w:rsid w:val="00E038CE"/>
    <w:rsid w:val="00E03F11"/>
    <w:rsid w:val="00E0463C"/>
    <w:rsid w:val="00E072D3"/>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4CFA"/>
    <w:rsid w:val="00EF5D8B"/>
    <w:rsid w:val="00EF6BCD"/>
    <w:rsid w:val="00EF7603"/>
    <w:rsid w:val="00EF7DE0"/>
    <w:rsid w:val="00F01416"/>
    <w:rsid w:val="00F030CA"/>
    <w:rsid w:val="00F0557F"/>
    <w:rsid w:val="00F05DFF"/>
    <w:rsid w:val="00F072D8"/>
    <w:rsid w:val="00F10B79"/>
    <w:rsid w:val="00F12D23"/>
    <w:rsid w:val="00F15074"/>
    <w:rsid w:val="00F15855"/>
    <w:rsid w:val="00F1709D"/>
    <w:rsid w:val="00F1745D"/>
    <w:rsid w:val="00F21FF2"/>
    <w:rsid w:val="00F26554"/>
    <w:rsid w:val="00F30653"/>
    <w:rsid w:val="00F3413D"/>
    <w:rsid w:val="00F35974"/>
    <w:rsid w:val="00F37710"/>
    <w:rsid w:val="00F53FEB"/>
    <w:rsid w:val="00F63B69"/>
    <w:rsid w:val="00F7184A"/>
    <w:rsid w:val="00F77EB0"/>
    <w:rsid w:val="00F81AC1"/>
    <w:rsid w:val="00F83415"/>
    <w:rsid w:val="00F86420"/>
    <w:rsid w:val="00F91F8F"/>
    <w:rsid w:val="00FA0215"/>
    <w:rsid w:val="00FA04B9"/>
    <w:rsid w:val="00FA0BA7"/>
    <w:rsid w:val="00FA35B4"/>
    <w:rsid w:val="00FB1A36"/>
    <w:rsid w:val="00FB2CFC"/>
    <w:rsid w:val="00FB38AF"/>
    <w:rsid w:val="00FB560E"/>
    <w:rsid w:val="00FB69E7"/>
    <w:rsid w:val="00FC051F"/>
    <w:rsid w:val="00FC5F9D"/>
    <w:rsid w:val="00FD16E0"/>
    <w:rsid w:val="00FD182B"/>
    <w:rsid w:val="00FD3232"/>
    <w:rsid w:val="00FD446A"/>
    <w:rsid w:val="00FD7A87"/>
    <w:rsid w:val="00FE1522"/>
    <w:rsid w:val="00FE278F"/>
    <w:rsid w:val="00FE4D92"/>
    <w:rsid w:val="00FE6645"/>
    <w:rsid w:val="00FF04B3"/>
    <w:rsid w:val="00FF3FF6"/>
    <w:rsid w:val="00FF4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0E185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WRX\Desktop\&#38750;&#27491;&#24120;&#39057;&#27573;%20LTE%20&#25968;&#25454;&#25910;&#38598;-190218.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v>CDF of Diagonal length</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Sheet2!$G$1:$G$21</c:f>
              <c:numCache>
                <c:formatCode>General</c:formatCode>
                <c:ptCount val="21"/>
                <c:pt idx="0">
                  <c:v>164.58432489152787</c:v>
                </c:pt>
                <c:pt idx="1">
                  <c:v>169.95587662684687</c:v>
                </c:pt>
                <c:pt idx="2">
                  <c:v>171.3300907604966</c:v>
                </c:pt>
                <c:pt idx="3">
                  <c:v>172.19175357722565</c:v>
                </c:pt>
                <c:pt idx="4">
                  <c:v>172.19175357722565</c:v>
                </c:pt>
                <c:pt idx="5">
                  <c:v>172.62966141425406</c:v>
                </c:pt>
                <c:pt idx="6">
                  <c:v>173.09246084101989</c:v>
                </c:pt>
                <c:pt idx="7">
                  <c:v>173.09246084101989</c:v>
                </c:pt>
                <c:pt idx="8">
                  <c:v>173.56554957709781</c:v>
                </c:pt>
                <c:pt idx="9">
                  <c:v>173.97614738668071</c:v>
                </c:pt>
                <c:pt idx="10">
                  <c:v>173.99425277864785</c:v>
                </c:pt>
                <c:pt idx="11">
                  <c:v>173.99425277864785</c:v>
                </c:pt>
                <c:pt idx="12">
                  <c:v>174.42763542512407</c:v>
                </c:pt>
                <c:pt idx="13">
                  <c:v>174.43193467266317</c:v>
                </c:pt>
                <c:pt idx="14">
                  <c:v>174.89711261195822</c:v>
                </c:pt>
                <c:pt idx="15">
                  <c:v>175.32826355154492</c:v>
                </c:pt>
                <c:pt idx="16">
                  <c:v>175.88681179026233</c:v>
                </c:pt>
                <c:pt idx="17">
                  <c:v>176.62016612614156</c:v>
                </c:pt>
                <c:pt idx="18">
                  <c:v>178.57940394409269</c:v>
                </c:pt>
                <c:pt idx="19">
                  <c:v>183.54009076887127</c:v>
                </c:pt>
                <c:pt idx="20">
                  <c:v>206.73654732533385</c:v>
                </c:pt>
              </c:numCache>
            </c:numRef>
          </c:xVal>
          <c:yVal>
            <c:numRef>
              <c:f>Sheet2!$F$1:$F$21</c:f>
              <c:numCache>
                <c:formatCode>General</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1"/>
          <c:extLst>
            <c:ext xmlns:c16="http://schemas.microsoft.com/office/drawing/2014/chart" uri="{C3380CC4-5D6E-409C-BE32-E72D297353CC}">
              <c16:uniqueId val="{00000000-A11E-4982-AE90-6120EFA2BE13}"/>
            </c:ext>
          </c:extLst>
        </c:ser>
        <c:dLbls>
          <c:showLegendKey val="0"/>
          <c:showVal val="0"/>
          <c:showCatName val="0"/>
          <c:showSerName val="0"/>
          <c:showPercent val="0"/>
          <c:showBubbleSize val="0"/>
        </c:dLbls>
        <c:axId val="1738306864"/>
        <c:axId val="1738312304"/>
      </c:scatterChart>
      <c:valAx>
        <c:axId val="1738306864"/>
        <c:scaling>
          <c:orientation val="minMax"/>
          <c:max val="210"/>
          <c:min val="16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ltLang="zh-CN" baseline="0"/>
                  <a:t>Size of Handset (mm)</a:t>
                </a:r>
                <a:endParaRPr lang="zh-CN" altLang="en-US"/>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8312304"/>
        <c:crosses val="autoZero"/>
        <c:crossBetween val="midCat"/>
      </c:valAx>
      <c:valAx>
        <c:axId val="1738312304"/>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ltLang="zh-CN"/>
                  <a:t>CDF</a:t>
                </a:r>
                <a:endParaRPr lang="zh-CN" altLang="en-US"/>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8306864"/>
        <c:crosses val="autoZero"/>
        <c:crossBetween val="midCat"/>
      </c:valAx>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chart>
  <c:txPr>
    <a:bodyPr/>
    <a:lstStyle/>
    <a:p>
      <a:pPr>
        <a:defRPr/>
      </a:pPr>
      <a:endParaRPr lang="en-US"/>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0.78589</cdr:x>
      <cdr:y>0.18385</cdr:y>
    </cdr:from>
    <cdr:to>
      <cdr:x>0.78589</cdr:x>
      <cdr:y>0.76651</cdr:y>
    </cdr:to>
    <cdr:cxnSp macro="">
      <cdr:nvCxnSpPr>
        <cdr:cNvPr id="3" name="直接连接符 2"/>
        <cdr:cNvCxnSpPr/>
      </cdr:nvCxnSpPr>
      <cdr:spPr>
        <a:xfrm xmlns:a="http://schemas.openxmlformats.org/drawingml/2006/main">
          <a:off x="3350073" y="431597"/>
          <a:ext cx="0" cy="1367857"/>
        </a:xfrm>
        <a:prstGeom xmlns:a="http://schemas.openxmlformats.org/drawingml/2006/main" prst="line">
          <a:avLst/>
        </a:prstGeom>
        <a:ln xmlns:a="http://schemas.openxmlformats.org/drawingml/2006/main" w="15875">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purl.org/dc/terms/"/>
    <ds:schemaRef ds:uri="878f5c59-aec9-459c-acf8-8cf941473193"/>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bdd78157-346c-4767-bfdd-352789a5c5f1"/>
    <ds:schemaRef ds:uri="http://purl.org/dc/dcmitype/"/>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E4487-1460-4EBB-8D4D-72A7D0086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1863</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95</cp:revision>
  <dcterms:created xsi:type="dcterms:W3CDTF">2019-06-30T20:45:00Z</dcterms:created>
  <dcterms:modified xsi:type="dcterms:W3CDTF">2019-11-08T20:22:00Z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